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ABD3C" w14:textId="77777777" w:rsidR="001D09D7" w:rsidRDefault="001D09D7" w:rsidP="005F4C2D">
      <w:pPr>
        <w:rPr>
          <w:b/>
          <w:sz w:val="32"/>
        </w:rPr>
      </w:pPr>
      <w:r w:rsidRPr="000F5825">
        <w:rPr>
          <w:b/>
          <w:sz w:val="32"/>
        </w:rPr>
        <w:t>Společenské výzvy</w:t>
      </w:r>
      <w:r w:rsidR="000F5825" w:rsidRPr="000F5825">
        <w:rPr>
          <w:b/>
          <w:sz w:val="32"/>
        </w:rPr>
        <w:t xml:space="preserve"> jako rámec pro </w:t>
      </w:r>
      <w:r w:rsidR="00677442">
        <w:rPr>
          <w:b/>
          <w:sz w:val="32"/>
        </w:rPr>
        <w:t xml:space="preserve">strategické </w:t>
      </w:r>
      <w:r w:rsidR="000F5825" w:rsidRPr="000F5825">
        <w:rPr>
          <w:b/>
          <w:sz w:val="32"/>
        </w:rPr>
        <w:t xml:space="preserve">směry </w:t>
      </w:r>
      <w:proofErr w:type="spellStart"/>
      <w:r w:rsidR="000F5825" w:rsidRPr="000F5825">
        <w:rPr>
          <w:b/>
          <w:sz w:val="32"/>
        </w:rPr>
        <w:t>VaVaI</w:t>
      </w:r>
      <w:proofErr w:type="spellEnd"/>
    </w:p>
    <w:p w14:paraId="401AB084" w14:textId="77777777" w:rsidR="00677442" w:rsidRDefault="00677442" w:rsidP="00677442">
      <w:pPr>
        <w:pStyle w:val="Obsah1"/>
        <w:pBdr>
          <w:top w:val="single" w:sz="4" w:space="1" w:color="808080" w:themeColor="background1" w:themeShade="80"/>
          <w:between w:val="single" w:sz="4" w:space="1" w:color="808080" w:themeColor="background1" w:themeShade="80"/>
        </w:pBdr>
      </w:pPr>
      <w:r>
        <w:fldChar w:fldCharType="begin"/>
      </w:r>
      <w:r>
        <w:instrText xml:space="preserve"> TOC \o "1-1" \n \h \z \u </w:instrText>
      </w:r>
      <w:r>
        <w:fldChar w:fldCharType="separate"/>
      </w:r>
      <w:hyperlink w:anchor="_Toc95920351" w:history="1">
        <w:r w:rsidRPr="00DA1C7C">
          <w:rPr>
            <w:rStyle w:val="Hypertextovodkaz"/>
          </w:rPr>
          <w:t>Adaptace na změny klimatu</w:t>
        </w:r>
      </w:hyperlink>
    </w:p>
    <w:p w14:paraId="5AF28C65" w14:textId="77777777" w:rsidR="00677442" w:rsidRDefault="00D8062A" w:rsidP="00677442">
      <w:pPr>
        <w:pStyle w:val="Obsah1"/>
        <w:pBdr>
          <w:top w:val="single" w:sz="4" w:space="1" w:color="808080" w:themeColor="background1" w:themeShade="80"/>
          <w:between w:val="single" w:sz="4" w:space="1" w:color="808080" w:themeColor="background1" w:themeShade="80"/>
        </w:pBdr>
      </w:pPr>
      <w:hyperlink w:anchor="_Toc95920352" w:history="1">
        <w:r w:rsidR="00677442" w:rsidRPr="00DA1C7C">
          <w:rPr>
            <w:rStyle w:val="Hypertextovodkaz"/>
          </w:rPr>
          <w:t>Energetická transformace společnosti</w:t>
        </w:r>
      </w:hyperlink>
    </w:p>
    <w:p w14:paraId="2600F3BB" w14:textId="77777777" w:rsidR="00677442" w:rsidRDefault="00D8062A" w:rsidP="00677442">
      <w:pPr>
        <w:pStyle w:val="Obsah1"/>
        <w:pBdr>
          <w:top w:val="single" w:sz="4" w:space="1" w:color="808080" w:themeColor="background1" w:themeShade="80"/>
          <w:between w:val="single" w:sz="4" w:space="1" w:color="808080" w:themeColor="background1" w:themeShade="80"/>
        </w:pBdr>
      </w:pPr>
      <w:hyperlink w:anchor="_Toc95920353" w:history="1">
        <w:r w:rsidR="00677442" w:rsidRPr="00DA1C7C">
          <w:rPr>
            <w:rStyle w:val="Hypertextovodkaz"/>
          </w:rPr>
          <w:t>Připravenost na demografické změny a stárnutí obyvatel</w:t>
        </w:r>
      </w:hyperlink>
    </w:p>
    <w:p w14:paraId="0D931C23" w14:textId="77777777" w:rsidR="00677442" w:rsidRDefault="00D8062A" w:rsidP="00677442">
      <w:pPr>
        <w:pStyle w:val="Obsah1"/>
        <w:pBdr>
          <w:top w:val="single" w:sz="4" w:space="1" w:color="808080" w:themeColor="background1" w:themeShade="80"/>
          <w:between w:val="single" w:sz="4" w:space="1" w:color="808080" w:themeColor="background1" w:themeShade="80"/>
        </w:pBdr>
      </w:pPr>
      <w:hyperlink w:anchor="_Toc95920354" w:history="1">
        <w:r w:rsidR="00677442" w:rsidRPr="00DA1C7C">
          <w:rPr>
            <w:rStyle w:val="Hypertextovodkaz"/>
          </w:rPr>
          <w:t>Důvěra v demokracii a hodnoty</w:t>
        </w:r>
      </w:hyperlink>
    </w:p>
    <w:p w14:paraId="5FAB1DF7" w14:textId="77777777" w:rsidR="00677442" w:rsidRDefault="00D8062A" w:rsidP="00677442">
      <w:pPr>
        <w:pStyle w:val="Obsah1"/>
        <w:pBdr>
          <w:top w:val="single" w:sz="4" w:space="1" w:color="808080" w:themeColor="background1" w:themeShade="80"/>
          <w:between w:val="single" w:sz="4" w:space="1" w:color="808080" w:themeColor="background1" w:themeShade="80"/>
        </w:pBdr>
      </w:pPr>
      <w:hyperlink w:anchor="_Toc95920355" w:history="1">
        <w:r w:rsidR="00677442" w:rsidRPr="00DA1C7C">
          <w:rPr>
            <w:rStyle w:val="Hypertextovodkaz"/>
          </w:rPr>
          <w:t>Informační kompetence a odolnost společnosti vůči dezinformacím</w:t>
        </w:r>
      </w:hyperlink>
    </w:p>
    <w:p w14:paraId="42A96FDC" w14:textId="77777777" w:rsidR="00677442" w:rsidRDefault="00D8062A" w:rsidP="00677442">
      <w:pPr>
        <w:pStyle w:val="Obsah1"/>
        <w:pBdr>
          <w:top w:val="single" w:sz="4" w:space="1" w:color="808080" w:themeColor="background1" w:themeShade="80"/>
          <w:between w:val="single" w:sz="4" w:space="1" w:color="808080" w:themeColor="background1" w:themeShade="80"/>
        </w:pBdr>
      </w:pPr>
      <w:hyperlink w:anchor="_Toc95920356" w:history="1">
        <w:r w:rsidR="00677442" w:rsidRPr="00DA1C7C">
          <w:rPr>
            <w:rStyle w:val="Hypertextovodkaz"/>
          </w:rPr>
          <w:t>Společenské dopady technologické změny</w:t>
        </w:r>
      </w:hyperlink>
    </w:p>
    <w:p w14:paraId="793530AC" w14:textId="77777777" w:rsidR="00677442" w:rsidRDefault="00D8062A" w:rsidP="00677442">
      <w:pPr>
        <w:pStyle w:val="Obsah1"/>
        <w:pBdr>
          <w:top w:val="single" w:sz="4" w:space="1" w:color="808080" w:themeColor="background1" w:themeShade="80"/>
          <w:between w:val="single" w:sz="4" w:space="1" w:color="808080" w:themeColor="background1" w:themeShade="80"/>
        </w:pBdr>
      </w:pPr>
      <w:hyperlink w:anchor="_Toc95920357" w:history="1">
        <w:r w:rsidR="00677442" w:rsidRPr="00DA1C7C">
          <w:rPr>
            <w:rStyle w:val="Hypertextovodkaz"/>
          </w:rPr>
          <w:t>Nové obchodní, pracovní a spotřební modely</w:t>
        </w:r>
      </w:hyperlink>
    </w:p>
    <w:p w14:paraId="089929F4" w14:textId="77777777" w:rsidR="00677442" w:rsidRPr="000F5825" w:rsidRDefault="00677442" w:rsidP="00677442">
      <w:pPr>
        <w:pBdr>
          <w:top w:val="single" w:sz="4" w:space="1" w:color="808080" w:themeColor="background1" w:themeShade="80"/>
          <w:between w:val="single" w:sz="4" w:space="1" w:color="808080" w:themeColor="background1" w:themeShade="80"/>
        </w:pBdr>
        <w:rPr>
          <w:b/>
          <w:sz w:val="32"/>
        </w:rPr>
      </w:pPr>
      <w:r>
        <w:rPr>
          <w:b/>
          <w:sz w:val="32"/>
        </w:rPr>
        <w:fldChar w:fldCharType="end"/>
      </w:r>
    </w:p>
    <w:p w14:paraId="76EB25AB" w14:textId="77777777" w:rsidR="001D09D7" w:rsidRPr="000F5825" w:rsidRDefault="001D09D7" w:rsidP="00677442">
      <w:pPr>
        <w:pStyle w:val="Nadpis1"/>
        <w:rPr>
          <w:b w:val="0"/>
        </w:rPr>
      </w:pPr>
      <w:bookmarkStart w:id="0" w:name="_Toc95920351"/>
      <w:r w:rsidRPr="000F5825">
        <w:t>Adaptace na změny klimatu</w:t>
      </w:r>
      <w:bookmarkEnd w:id="0"/>
    </w:p>
    <w:p w14:paraId="3610FB85" w14:textId="77777777" w:rsidR="004B19BF" w:rsidRDefault="004B19BF" w:rsidP="00E553F1">
      <w:pPr>
        <w:jc w:val="both"/>
      </w:pPr>
      <w:r>
        <w:t xml:space="preserve">Změny klimatu a ochrana životního prostředí se stávají jedním z nejdůležitějších témat současné společnosti a politiky nejen ve vyspělých zemích, což podporuje zvýšené úsilí k dosažení globálních i evropských cílů k omezení oteplování </w:t>
      </w:r>
      <w:r w:rsidR="00677442">
        <w:t>planety</w:t>
      </w:r>
      <w:r>
        <w:t xml:space="preserve"> a obnově poškozených ekosystémů. EU se zavázala do roku 2050 dosáhnout klimatické neutrality a usiluje o vedoucí roli v řešení výzev spojených s degradací životního prostředí vlivem lidské činnosti</w:t>
      </w:r>
      <w:r w:rsidR="00970506">
        <w:t>.</w:t>
      </w:r>
      <w:r w:rsidR="00E553F1">
        <w:rPr>
          <w:rStyle w:val="Znakapoznpodarou"/>
        </w:rPr>
        <w:footnoteReference w:id="1"/>
      </w:r>
      <w:r>
        <w:t xml:space="preserve"> Globální dohody tak směřují k zavádění opatření do národních politik a strategií s konkrétními závazky. Tyto závazky spolu se společenskou poptávkou po snížení dopadů lidské činnosti na životní prostředí a lidské zdraví přispějí k vytváření socioekonomických příležitostí za využití technologických inovací a vědeckých poznatků na zmírnění dopadů klimatické změny, preventivním opatřením proti ohrožování ekosystémů a lidského zdraví a obnovování přirozené odolnosti ekosystémů.</w:t>
      </w:r>
    </w:p>
    <w:p w14:paraId="448DF475" w14:textId="77777777" w:rsidR="0080430D" w:rsidRDefault="004B19BF" w:rsidP="00E553F1">
      <w:pPr>
        <w:jc w:val="both"/>
      </w:pPr>
      <w:r w:rsidRPr="003B3246">
        <w:t>Kvalita životního prostředí vlivem lidské činnosti degraduje zejména v posledních několika dekádách, odhaduje se, že až 40 % mořského a 75 % suchozemského prostředí je ovlivněno činností člověka, a to s vážnými dopady na stabilitu ekosystémů</w:t>
      </w:r>
      <w:r w:rsidR="00970506">
        <w:t>.</w:t>
      </w:r>
      <w:r w:rsidR="00E553F1">
        <w:rPr>
          <w:rStyle w:val="Znakapoznpodarou"/>
        </w:rPr>
        <w:footnoteReference w:id="2"/>
      </w:r>
      <w:r w:rsidRPr="003B3246">
        <w:t xml:space="preserve"> Celkový pokles biodiverzity od r. 1970 dosahuje cca 68 %</w:t>
      </w:r>
      <w:r w:rsidR="00970506">
        <w:t>.</w:t>
      </w:r>
      <w:r w:rsidR="00E553F1">
        <w:rPr>
          <w:rStyle w:val="Znakapoznpodarou"/>
        </w:rPr>
        <w:footnoteReference w:id="3"/>
      </w:r>
      <w:r w:rsidRPr="003B3246">
        <w:t xml:space="preserve"> Klesající biologická rozmanitost oslabuje přírodní ekosystémy, které dále hůře odolávají hrozbám</w:t>
      </w:r>
      <w:r>
        <w:t>,</w:t>
      </w:r>
      <w:r w:rsidRPr="003B3246">
        <w:t xml:space="preserve"> jako jsou škůdci, patogeny či projevy klimatické změny. Zvyšující se celosvětové nároky na potraviny, zejména na spotřebu masa, vytvářejí stále větší tlak na využití a přeměnu půd. Intenzivní globální potravinový systém vede ke zvýšené erozi půdy, snížení filtrace a dostupnosti vody, poklesu biodiverzity a snížené produktivitě a kontaminaci půdy a vody. Kvalitu a přirozený cyklus vody zatěžuje neustále sílící nároky na zavlažování a spotřeba v průmyslu. Rostoucí globální populace a zejména očekávaný růst střední třídy provází produkce stále větších objemů odpadu. Do roku 2050 produkce globálního odpadu představuje navýšení o vysoké desítky až stovky procent</w:t>
      </w:r>
      <w:r w:rsidR="00970506">
        <w:t>.</w:t>
      </w:r>
      <w:r w:rsidR="00E553F1">
        <w:rPr>
          <w:rStyle w:val="Znakapoznpodarou"/>
        </w:rPr>
        <w:footnoteReference w:id="4"/>
      </w:r>
      <w:r w:rsidR="00970506">
        <w:t xml:space="preserve"> </w:t>
      </w:r>
      <w:r w:rsidRPr="003B3246">
        <w:t>Destabilizace ekosystémů zvyšuje tlak na nerovnosti a chudobu a může vést ke zvýšené migraci.</w:t>
      </w:r>
    </w:p>
    <w:p w14:paraId="14E80FDD" w14:textId="77777777" w:rsidR="004B19BF" w:rsidRDefault="004B19BF" w:rsidP="004B19BF">
      <w:pPr>
        <w:spacing w:after="120"/>
        <w:jc w:val="both"/>
      </w:pPr>
      <w:r>
        <w:lastRenderedPageBreak/>
        <w:t xml:space="preserve">Pokračující degradace půdy a vodních ekosystémů bude dále posilovat produkci skleníkových plynů, což bude mít přímý efekt na posilování efektů klimatické změny. Pokud nenastane dostatečná změna v návycích a hodnotách </w:t>
      </w:r>
      <w:r w:rsidR="00E553F1">
        <w:t xml:space="preserve">společnosti, </w:t>
      </w:r>
      <w:r>
        <w:t>neoslabí</w:t>
      </w:r>
      <w:r w:rsidR="00E553F1">
        <w:t xml:space="preserve"> ani</w:t>
      </w:r>
      <w:r>
        <w:t xml:space="preserve"> trend degradace životního prostředí. Tlak na půdu, následná desertifikace, snížená biodiverzita a odolnost ekosystémů a proměnlivost klimatu přispěje k potravinové nejistotě ve světě (snižování kvality a dostupnosti potravin), zvýšené zátěži nemocemi a rostoucí pravděpodobnosti konfliktů a migraci, které budou mít vliv i na stabilitu a kvalitu života v EU. Environmentální zátěž sníží kapacitu ekosystémů chránit obyvatele před zvýšeným rizikem projevů klimatické změny (dlouhotrvající sucho, požáry, povodně atd.). Stav klíčových ekosystémů, jako jsou lesní porosty, se bude nadále zhoršovat a budou zranitelnější vůči škůdcům (v ČR např. pokračující rozsáhlé kůrovcové kalamity). Nutnost zvýšení potravinové produkce spolu se závislostí na omezeném portfoliu zemědělských plodin a zvyšujícím se nárokům na spotřebu masa prohloubí negativní dopady zemědělství. Rostoucí objem odpadů povede ke kontaminaci celých ekosystémů včetně podzemních vod, ohrozí produkci a kvalitu potravin, oslabí odolnost ekosystémů proti chorobám, patogenům a usnadní šíření invazivních druhů.</w:t>
      </w:r>
    </w:p>
    <w:p w14:paraId="25B53F38" w14:textId="2FF3187C" w:rsidR="0080430D" w:rsidRDefault="00E553F1" w:rsidP="00D8062A">
      <w:pPr>
        <w:jc w:val="both"/>
      </w:pPr>
      <w:r>
        <w:t>Na společenskou výzvu spojenou s adaptací na klimatické</w:t>
      </w:r>
      <w:r w:rsidR="00D8062A">
        <w:t xml:space="preserve"> změny, zpomalování klimatických změn a hledání cest, jak jim předcházet </w:t>
      </w:r>
      <w:r>
        <w:t>bezprostředně reaguje jedna z šesti</w:t>
      </w:r>
      <w:bookmarkStart w:id="6" w:name="_GoBack"/>
      <w:bookmarkEnd w:id="6"/>
      <w:r>
        <w:t xml:space="preserve"> misí EU v rámcovém programu Horizont Evropa (</w:t>
      </w:r>
      <w:proofErr w:type="spellStart"/>
      <w:r>
        <w:t>EUMission</w:t>
      </w:r>
      <w:proofErr w:type="spellEnd"/>
      <w:r>
        <w:t xml:space="preserve">: </w:t>
      </w:r>
      <w:proofErr w:type="spellStart"/>
      <w:r w:rsidR="0080430D">
        <w:t>Adaptation</w:t>
      </w:r>
      <w:proofErr w:type="spellEnd"/>
      <w:r w:rsidR="0080430D">
        <w:t xml:space="preserve"> to </w:t>
      </w:r>
      <w:proofErr w:type="spellStart"/>
      <w:r w:rsidR="0080430D">
        <w:t>Climate</w:t>
      </w:r>
      <w:proofErr w:type="spellEnd"/>
      <w:r w:rsidR="0080430D">
        <w:t xml:space="preserve"> </w:t>
      </w:r>
      <w:proofErr w:type="spellStart"/>
      <w:r w:rsidR="0080430D">
        <w:t>Change</w:t>
      </w:r>
      <w:proofErr w:type="spellEnd"/>
      <w:r w:rsidR="0080430D">
        <w:t>)</w:t>
      </w:r>
      <w:r>
        <w:t>.</w:t>
      </w:r>
      <w:r>
        <w:rPr>
          <w:rStyle w:val="Znakapoznpodarou"/>
        </w:rPr>
        <w:footnoteReference w:id="5"/>
      </w:r>
    </w:p>
    <w:p w14:paraId="35470815" w14:textId="77777777" w:rsidR="001D09D7" w:rsidRPr="00677442" w:rsidRDefault="001D09D7" w:rsidP="00677442">
      <w:pPr>
        <w:pStyle w:val="Nadpis1"/>
      </w:pPr>
      <w:bookmarkStart w:id="7" w:name="_Toc95920352"/>
      <w:r w:rsidRPr="00677442">
        <w:t>Energetická transformace společnosti</w:t>
      </w:r>
      <w:bookmarkEnd w:id="7"/>
    </w:p>
    <w:p w14:paraId="010DE513" w14:textId="77777777" w:rsidR="00465FB2" w:rsidRDefault="00465FB2" w:rsidP="00465FB2">
      <w:pPr>
        <w:jc w:val="both"/>
        <w:rPr>
          <w:bCs/>
          <w:szCs w:val="24"/>
        </w:rPr>
      </w:pPr>
      <w:r>
        <w:t>Rostoucí globální populace a vzorce výroby kladou stále větší nároky na spotřebu energetických (a jiných vstupů) a tempo jejich spotřeby se neustále zrychluje. V objemu světové spotřeby existují významné regionální rozdíly závislé především na přesunech výroby v rámci globálních produkčních řetězců, ekonomické síle regionů a tlaku na udržitelnější bezodpadovou ekonomiku. Rostoucí spotřebu posiluje i rozšířený konzumní styl života. Ačkoliv také narůstá zájem na dosažení udržitelnosti a odklonu od využívání primárních přírodních zdrojů, na globální spotřebě se zatím tento přístup neprojevuje</w:t>
      </w:r>
      <w:r w:rsidR="00970506">
        <w:t>.</w:t>
      </w:r>
      <w:r>
        <w:rPr>
          <w:rStyle w:val="Znakapoznpodarou"/>
        </w:rPr>
        <w:footnoteReference w:id="6"/>
      </w:r>
      <w:r w:rsidRPr="004D5436">
        <w:t xml:space="preserve"> </w:t>
      </w:r>
      <w:r w:rsidR="00677442">
        <w:t>S</w:t>
      </w:r>
      <w:r>
        <w:t>ou</w:t>
      </w:r>
      <w:r w:rsidR="00677442">
        <w:t>časné</w:t>
      </w:r>
      <w:r>
        <w:t xml:space="preserve"> trendy ve spotřebě a výrobě jsou dlouhodobě neudržitelné – do roku 2050 se při současném tempu předpokládá růst poptávky po energiích a dalších přírodních zdrojích. </w:t>
      </w:r>
      <w:r w:rsidRPr="001B3DF0">
        <w:rPr>
          <w:bCs/>
          <w:szCs w:val="24"/>
        </w:rPr>
        <w:t xml:space="preserve">Změny v demografii (zejména globální růst střední třídy) i v hodnotách společnosti </w:t>
      </w:r>
      <w:r>
        <w:rPr>
          <w:bCs/>
          <w:szCs w:val="24"/>
        </w:rPr>
        <w:t xml:space="preserve">a rozvoj technologií </w:t>
      </w:r>
      <w:r w:rsidRPr="001B3DF0">
        <w:rPr>
          <w:bCs/>
          <w:szCs w:val="24"/>
        </w:rPr>
        <w:t>však generují i nové přístupy ke spotřebě, pro které je specifický zájem o udržitelnost</w:t>
      </w:r>
      <w:r>
        <w:rPr>
          <w:bCs/>
          <w:szCs w:val="24"/>
        </w:rPr>
        <w:t xml:space="preserve">, chytrá šetrnější řešení a nárůst využívání </w:t>
      </w:r>
      <w:r w:rsidRPr="001B3DF0">
        <w:rPr>
          <w:bCs/>
          <w:szCs w:val="24"/>
        </w:rPr>
        <w:t xml:space="preserve">obnovitelných zdrojů </w:t>
      </w:r>
      <w:r>
        <w:rPr>
          <w:bCs/>
          <w:szCs w:val="24"/>
        </w:rPr>
        <w:t>energie</w:t>
      </w:r>
      <w:r w:rsidRPr="001B3DF0">
        <w:rPr>
          <w:bCs/>
          <w:szCs w:val="24"/>
        </w:rPr>
        <w:t>.</w:t>
      </w:r>
    </w:p>
    <w:p w14:paraId="0D19BC68" w14:textId="77777777" w:rsidR="00457F5C" w:rsidRDefault="00465FB2" w:rsidP="00465FB2">
      <w:pPr>
        <w:jc w:val="both"/>
      </w:pPr>
      <w:r>
        <w:t xml:space="preserve">Nárůst environmentální uvědomělosti </w:t>
      </w:r>
      <w:r w:rsidR="00677442">
        <w:t>ve společnosti</w:t>
      </w:r>
      <w:r>
        <w:t xml:space="preserve"> bude pokračovat a vytvářet tlak na změnu vzorců výroby a chování směrem k udržitelnějšímu nakládání s dostupnou energií. Udržitelné řízení spotřeby energie získá mezinárodní celospolečenský rozměr a za využití nových technologií povede k efektivnější výrobě, distribuci a spotřebě energie. Bude využita široká škála opatření s ohledem na ekonomickou efektivitu i sociální spravedlnost spotřeby, která bude obsahovat a jak opatření pro využívání primárních přírodních zdrojů pro výrobu energie, tak opatření pro zefektivnění celý životní cyklus produktů a nakládání s odpady a tím i snížení spotřeby energie. Skladba energetického mixu bude nadále významně zvyšovat podíl obnovitelných zdrojů a do roku 2040 dojde k růstu jejich podílu až na </w:t>
      </w:r>
      <w:r>
        <w:lastRenderedPageBreak/>
        <w:t>40 % až 66 %</w:t>
      </w:r>
      <w:r w:rsidR="00970506">
        <w:t>.</w:t>
      </w:r>
      <w:r>
        <w:rPr>
          <w:rStyle w:val="Znakapoznpodarou"/>
        </w:rPr>
        <w:footnoteReference w:id="7"/>
      </w:r>
      <w:r>
        <w:t xml:space="preserve">  Obnovitelné zdroje energie se s rozšířením stanou nákladově konkurenceschopnými energii z fosilních paliv</w:t>
      </w:r>
      <w:r w:rsidR="00970506">
        <w:t>.</w:t>
      </w:r>
      <w:r>
        <w:rPr>
          <w:rStyle w:val="Znakapoznpodarou"/>
        </w:rPr>
        <w:footnoteReference w:id="8"/>
      </w:r>
    </w:p>
    <w:p w14:paraId="2F5DA598" w14:textId="77777777" w:rsidR="001D09D7" w:rsidRPr="00677442" w:rsidRDefault="001D09D7" w:rsidP="00677442">
      <w:pPr>
        <w:pStyle w:val="Nadpis1"/>
      </w:pPr>
      <w:bookmarkStart w:id="8" w:name="_Toc95920353"/>
      <w:r w:rsidRPr="00677442">
        <w:t>Připravenost na demografické změny a stárnutí obyvatel</w:t>
      </w:r>
      <w:bookmarkEnd w:id="8"/>
    </w:p>
    <w:p w14:paraId="36A685F5" w14:textId="77777777" w:rsidR="00F665E5" w:rsidRPr="00F665E5" w:rsidRDefault="00677442" w:rsidP="00E553F1">
      <w:pPr>
        <w:jc w:val="both"/>
        <w:rPr>
          <w:rFonts w:cstheme="minorHAnsi"/>
        </w:rPr>
      </w:pPr>
      <w:r>
        <w:rPr>
          <w:rFonts w:eastAsia="Nunito Sans" w:cstheme="minorHAnsi"/>
        </w:rPr>
        <w:t>Mezi hlavní t</w:t>
      </w:r>
      <w:r w:rsidR="00F665E5">
        <w:rPr>
          <w:rFonts w:eastAsia="Nunito Sans" w:cstheme="minorHAnsi"/>
        </w:rPr>
        <w:t>rendy v d</w:t>
      </w:r>
      <w:r w:rsidR="00F665E5" w:rsidRPr="00F665E5">
        <w:rPr>
          <w:rFonts w:eastAsia="Nunito Sans" w:cstheme="minorHAnsi"/>
        </w:rPr>
        <w:t>emografick</w:t>
      </w:r>
      <w:r w:rsidR="00F665E5">
        <w:rPr>
          <w:rFonts w:eastAsia="Nunito Sans" w:cstheme="minorHAnsi"/>
        </w:rPr>
        <w:t xml:space="preserve">ém </w:t>
      </w:r>
      <w:r w:rsidR="00F665E5" w:rsidRPr="00F665E5">
        <w:rPr>
          <w:rFonts w:eastAsia="Nunito Sans" w:cstheme="minorHAnsi"/>
        </w:rPr>
        <w:t>vývoj</w:t>
      </w:r>
      <w:r w:rsidR="00F665E5">
        <w:rPr>
          <w:rFonts w:eastAsia="Nunito Sans" w:cstheme="minorHAnsi"/>
        </w:rPr>
        <w:t xml:space="preserve">i </w:t>
      </w:r>
      <w:r>
        <w:rPr>
          <w:rFonts w:eastAsia="Nunito Sans" w:cstheme="minorHAnsi"/>
        </w:rPr>
        <w:t>patří</w:t>
      </w:r>
      <w:r w:rsidR="00F665E5" w:rsidRPr="00F665E5">
        <w:rPr>
          <w:rFonts w:eastAsia="Nunito Sans" w:cstheme="minorHAnsi"/>
        </w:rPr>
        <w:t xml:space="preserve"> zvyšující se naděje dožití a průměrná délka života, klesající míra porodnosti, demografické stárnutí, zvyšující se migrace a pokračující urbanizace. Mění se zároveň životní styl a potřeby nové struktury světové populace. Současná nízká populační dynamika ovlivňuje chování lidí a má vliv na formování domácnosti, kupní sílu a životní styl. </w:t>
      </w:r>
    </w:p>
    <w:p w14:paraId="2D6DE002" w14:textId="77777777" w:rsidR="00F665E5" w:rsidRDefault="00677442" w:rsidP="00E553F1">
      <w:pPr>
        <w:jc w:val="both"/>
      </w:pPr>
      <w:r>
        <w:t>Stárnutí obyvatel</w:t>
      </w:r>
      <w:r w:rsidR="00F665E5">
        <w:t xml:space="preserve"> může částečně zpomalit ekonomický růst. Významněji však stárnutí ovlivní stávající modely sociálních systémů, které jsou z velké části organizované a financované veřejnou správou. Starší generace bude pravděpodobně vyžadovat v případě zdravotních problémů dlouhodobější péči, může stoupat počet osob</w:t>
      </w:r>
      <w:r w:rsidRPr="00677442">
        <w:t xml:space="preserve"> </w:t>
      </w:r>
      <w:r>
        <w:t>závislých na pomoci společnosti</w:t>
      </w:r>
      <w:r w:rsidR="00970506">
        <w:t>.</w:t>
      </w:r>
      <w:r w:rsidR="00F665E5">
        <w:rPr>
          <w:rStyle w:val="Znakapoznpodarou"/>
        </w:rPr>
        <w:footnoteReference w:id="9"/>
      </w:r>
    </w:p>
    <w:p w14:paraId="6B378058" w14:textId="77777777" w:rsidR="00F665E5" w:rsidRDefault="00F665E5" w:rsidP="00E553F1">
      <w:pPr>
        <w:jc w:val="both"/>
      </w:pPr>
      <w:r>
        <w:t>Trend stárnutí obecně povede k nižšímu daňovému příjmu (zvyšujícímu se státnímu dluhu v případě, že bude nutné z důvodu stárnutí zvyšovat výdaje na systémy veřejných služeb) a v některých případech může vést k nižšímu podílu ekonomicky aktivních v populaci. I přes tyto skutečnosti bude nutné udržet či zvýšit výdaje na zdravotní, sociální a důchodový systém</w:t>
      </w:r>
      <w:r w:rsidR="00970506">
        <w:t>.</w:t>
      </w:r>
      <w:r>
        <w:rPr>
          <w:rStyle w:val="Znakapoznpodarou"/>
        </w:rPr>
        <w:footnoteReference w:id="10"/>
      </w:r>
      <w:r>
        <w:t xml:space="preserve"> K tomu bude třeba prodlužovat věk odchodu do důchodu nebo zvyšovat zaměstnanost ekonomicky neaktivních skupin, případně změnit imigrační politiku</w:t>
      </w:r>
      <w:r w:rsidR="00970506">
        <w:t>.</w:t>
      </w:r>
      <w:r>
        <w:rPr>
          <w:rStyle w:val="Znakapoznpodarou"/>
        </w:rPr>
        <w:footnoteReference w:id="11"/>
      </w:r>
    </w:p>
    <w:p w14:paraId="4B43A515" w14:textId="77777777" w:rsidR="00F665E5" w:rsidRDefault="00F665E5" w:rsidP="00E553F1">
      <w:pPr>
        <w:jc w:val="both"/>
      </w:pPr>
      <w:r>
        <w:t>Nutná bude příprava zdravotního systému na možnou změnu skladby onemocnění, kterou bude přinášet stárnutí populace. Naděje dožití je v současné době u mužů přibližně 75 let, u žen 80 let. Od 65. roku věku existuje zvýšené riziko vzniku chronických onemocnění, začínající demence a jiných onemocnění (kardiovaskulární onemocnění, cukrovka, rakovina), která jsou definována jako nemoci, které spontánně nevymizí a jsou zřídka zcela vyléčeny. S rostoucím počtem seniorů lze předpokládat, že tito pacienti budou většinu léčby trávit ve zdravotnických zařízeních a mohou tak zabírat velký podíl zdravotnick</w:t>
      </w:r>
      <w:r w:rsidR="00116601">
        <w:t>ých kapacit</w:t>
      </w:r>
      <w:r w:rsidR="00970506">
        <w:t>.</w:t>
      </w:r>
      <w:r w:rsidR="00116601">
        <w:rPr>
          <w:rStyle w:val="Znakapoznpodarou"/>
        </w:rPr>
        <w:footnoteReference w:id="12"/>
      </w:r>
    </w:p>
    <w:p w14:paraId="7D20ECDE" w14:textId="77777777" w:rsidR="00465FB2" w:rsidRDefault="00465FB2" w:rsidP="00465FB2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Cs w:val="20"/>
        </w:rPr>
        <w:t>Další faktorem demografické změny může být posilující migrace. M</w:t>
      </w:r>
      <w:r w:rsidRPr="00471B45">
        <w:rPr>
          <w:rFonts w:cstheme="minorHAnsi"/>
          <w:szCs w:val="20"/>
        </w:rPr>
        <w:t>igrace bude probíhat hlavně na regionální úrovni a mezi jižními státy. Je nicméně obtížné předvídat vývoj migračních toků, protože v nich hrají roli nepředvídatelné faktory jako ozbrojené konflikty, geopolitické změny a přírodní katastrofy.</w:t>
      </w:r>
    </w:p>
    <w:p w14:paraId="732C0378" w14:textId="77777777" w:rsidR="001D09D7" w:rsidRPr="00677442" w:rsidRDefault="001D09D7" w:rsidP="00677442">
      <w:pPr>
        <w:pStyle w:val="Nadpis1"/>
      </w:pPr>
      <w:bookmarkStart w:id="13" w:name="_Toc95920354"/>
      <w:r w:rsidRPr="00677442">
        <w:t>Důvěra v demokracii a hodnoty</w:t>
      </w:r>
      <w:bookmarkEnd w:id="13"/>
    </w:p>
    <w:p w14:paraId="7A8E187D" w14:textId="77777777" w:rsidR="00116601" w:rsidRPr="00465FB2" w:rsidRDefault="00465FB2" w:rsidP="0064079C">
      <w:pPr>
        <w:jc w:val="both"/>
        <w:rPr>
          <w:rFonts w:eastAsia="Nunito Sans" w:cstheme="minorHAnsi"/>
          <w:color w:val="000000"/>
          <w:sz w:val="24"/>
        </w:rPr>
      </w:pPr>
      <w:r w:rsidRPr="00465FB2">
        <w:rPr>
          <w:rFonts w:cstheme="minorHAnsi"/>
          <w:szCs w:val="20"/>
        </w:rPr>
        <w:t>Globálně jsou pozorovány změny společenských hodnot, což má důsledky pro politiku, ekonomiku i každodenní život. Hlavní pozorovanou změnou je pokračující přesun od kolektivity k</w:t>
      </w:r>
      <w:r>
        <w:rPr>
          <w:rFonts w:cstheme="minorHAnsi"/>
          <w:szCs w:val="20"/>
        </w:rPr>
        <w:t> </w:t>
      </w:r>
      <w:r w:rsidRPr="00465FB2">
        <w:rPr>
          <w:rFonts w:cstheme="minorHAnsi"/>
          <w:szCs w:val="20"/>
        </w:rPr>
        <w:t>individualismu</w:t>
      </w:r>
      <w:r>
        <w:rPr>
          <w:rFonts w:cstheme="minorHAnsi"/>
          <w:szCs w:val="20"/>
        </w:rPr>
        <w:t xml:space="preserve">, </w:t>
      </w:r>
      <w:r w:rsidRPr="00116601">
        <w:rPr>
          <w:rFonts w:eastAsia="Nunito Sans" w:cstheme="minorHAnsi"/>
          <w:color w:val="000000"/>
        </w:rPr>
        <w:t>klesající důvěra společnosti v instituce a zvyšující se tlak na řešení sílící environmentální krize</w:t>
      </w:r>
      <w:r w:rsidRPr="00465FB2">
        <w:rPr>
          <w:rFonts w:cstheme="minorHAnsi"/>
          <w:szCs w:val="20"/>
        </w:rPr>
        <w:t xml:space="preserve">. Rostoucí </w:t>
      </w:r>
      <w:r w:rsidRPr="00465FB2">
        <w:rPr>
          <w:rFonts w:cstheme="minorHAnsi"/>
          <w:szCs w:val="20"/>
        </w:rPr>
        <w:lastRenderedPageBreak/>
        <w:t xml:space="preserve">tlak je </w:t>
      </w:r>
      <w:r>
        <w:rPr>
          <w:rFonts w:cstheme="minorHAnsi"/>
          <w:szCs w:val="20"/>
        </w:rPr>
        <w:t xml:space="preserve">rovněž </w:t>
      </w:r>
      <w:r w:rsidRPr="00465FB2">
        <w:rPr>
          <w:rFonts w:cstheme="minorHAnsi"/>
          <w:szCs w:val="20"/>
        </w:rPr>
        <w:t xml:space="preserve">na rovný přístup ke vzdělání </w:t>
      </w:r>
      <w:r>
        <w:rPr>
          <w:rFonts w:cstheme="minorHAnsi"/>
          <w:szCs w:val="20"/>
        </w:rPr>
        <w:t xml:space="preserve">a </w:t>
      </w:r>
      <w:r w:rsidRPr="00465FB2">
        <w:rPr>
          <w:rFonts w:cstheme="minorHAnsi"/>
          <w:szCs w:val="20"/>
        </w:rPr>
        <w:t xml:space="preserve">na postupnou adaptaci vzdělávacích systémů tak, aby byly schopny znalostně i </w:t>
      </w:r>
      <w:proofErr w:type="spellStart"/>
      <w:r w:rsidRPr="00465FB2">
        <w:rPr>
          <w:rFonts w:cstheme="minorHAnsi"/>
          <w:szCs w:val="20"/>
        </w:rPr>
        <w:t>dovednostně</w:t>
      </w:r>
      <w:proofErr w:type="spellEnd"/>
      <w:r w:rsidRPr="00465FB2">
        <w:rPr>
          <w:rFonts w:cstheme="minorHAnsi"/>
          <w:szCs w:val="20"/>
        </w:rPr>
        <w:t xml:space="preserve"> připravit společnost na nové požadavky trhu práce a nově vznikající pracovní odvětví.</w:t>
      </w:r>
    </w:p>
    <w:p w14:paraId="384E6407" w14:textId="77777777" w:rsidR="004B19BF" w:rsidRPr="004B19BF" w:rsidRDefault="0064079C" w:rsidP="0064079C">
      <w:pPr>
        <w:jc w:val="both"/>
        <w:rPr>
          <w:rFonts w:cstheme="minorHAnsi"/>
        </w:rPr>
      </w:pPr>
      <w:r>
        <w:rPr>
          <w:rFonts w:cstheme="minorHAnsi"/>
        </w:rPr>
        <w:t xml:space="preserve">Posilující individualismus se odráží rovněž v rostoucím počtu domácností </w:t>
      </w:r>
      <w:r w:rsidR="004B19BF" w:rsidRPr="004B19BF">
        <w:rPr>
          <w:rFonts w:cstheme="minorHAnsi"/>
        </w:rPr>
        <w:t>obývaných jednou osobou</w:t>
      </w:r>
      <w:r>
        <w:rPr>
          <w:rFonts w:cstheme="minorHAnsi"/>
        </w:rPr>
        <w:t xml:space="preserve">. Lze očekávat, že tento trend bude posilovat zejména </w:t>
      </w:r>
      <w:r w:rsidR="004B19BF" w:rsidRPr="004B19BF">
        <w:rPr>
          <w:rFonts w:cstheme="minorHAnsi"/>
        </w:rPr>
        <w:t xml:space="preserve">ve </w:t>
      </w:r>
      <w:proofErr w:type="spellStart"/>
      <w:r w:rsidR="004B19BF" w:rsidRPr="004B19BF">
        <w:rPr>
          <w:rFonts w:cstheme="minorHAnsi"/>
        </w:rPr>
        <w:t>vysokopříjmových</w:t>
      </w:r>
      <w:proofErr w:type="spellEnd"/>
      <w:r w:rsidR="004B19BF" w:rsidRPr="004B19BF">
        <w:rPr>
          <w:rFonts w:cstheme="minorHAnsi"/>
        </w:rPr>
        <w:t xml:space="preserve"> ekonomikách v důsledku pozdějších sňatků, nízké porodnosti a stárnutí populace. Do roku 2030 by mohly single domácnosti tvořit až 40 % domácností </w:t>
      </w:r>
      <w:r w:rsidR="002C7747">
        <w:rPr>
          <w:rFonts w:cstheme="minorHAnsi"/>
        </w:rPr>
        <w:t>v zemích</w:t>
      </w:r>
      <w:r w:rsidR="004B19BF" w:rsidRPr="004B19BF">
        <w:rPr>
          <w:rFonts w:cstheme="minorHAnsi"/>
        </w:rPr>
        <w:t xml:space="preserve"> OECD.</w:t>
      </w:r>
      <w:r>
        <w:rPr>
          <w:rStyle w:val="Znakapoznpodarou"/>
          <w:rFonts w:cstheme="minorHAnsi"/>
        </w:rPr>
        <w:footnoteReference w:id="13"/>
      </w:r>
    </w:p>
    <w:p w14:paraId="32603AAF" w14:textId="77777777" w:rsidR="00A04B71" w:rsidRDefault="00A04B71" w:rsidP="00A04B71">
      <w:pPr>
        <w:jc w:val="both"/>
      </w:pPr>
      <w:r>
        <w:t>Změny společenských hodnot se odrážejí také v rostoucím tlaku na institucionální rámec demokratického vládnutí, rostoucí populismus a posilování antisystémových stran, hnutí a názorových proudů.</w:t>
      </w:r>
      <w:r>
        <w:rPr>
          <w:rStyle w:val="Znakapoznpodarou"/>
        </w:rPr>
        <w:footnoteReference w:id="14"/>
      </w:r>
    </w:p>
    <w:p w14:paraId="30B812C2" w14:textId="77777777" w:rsidR="001D09D7" w:rsidRPr="00677442" w:rsidRDefault="00DC447F" w:rsidP="00677442">
      <w:pPr>
        <w:pStyle w:val="Nadpis1"/>
      </w:pPr>
      <w:bookmarkStart w:id="14" w:name="_Toc95920355"/>
      <w:r w:rsidRPr="00677442">
        <w:t>Informační kompetence a odolnost společnosti vůči dezinformacím</w:t>
      </w:r>
      <w:bookmarkEnd w:id="14"/>
    </w:p>
    <w:p w14:paraId="20B46562" w14:textId="77777777" w:rsidR="000E57FF" w:rsidRDefault="000E57FF" w:rsidP="002C7747">
      <w:pPr>
        <w:spacing w:after="120" w:line="240" w:lineRule="auto"/>
        <w:jc w:val="both"/>
      </w:pPr>
      <w:r>
        <w:t>S rostoucí digitalizací a informační propojeností světa rostou nároky na kompetence jednotlivců a společnosti a jejich schopnost se v záplavě informací orientovat a správně tyto informace vyhodnocovat.</w:t>
      </w:r>
    </w:p>
    <w:p w14:paraId="43A23053" w14:textId="77777777" w:rsidR="002C7747" w:rsidRDefault="000E57FF" w:rsidP="002C7747">
      <w:pPr>
        <w:spacing w:after="120" w:line="240" w:lineRule="auto"/>
        <w:jc w:val="both"/>
      </w:pPr>
      <w:r>
        <w:t>Stále intenziv</w:t>
      </w:r>
      <w:r w:rsidR="0068151B">
        <w:t xml:space="preserve">nější využívání sociálních sítí a médií, které často velmi zjednodušují informace, výrazně omezují veřejnou diskuzi a vyzdvihují emoce nad racionální uvažování o realitě, </w:t>
      </w:r>
      <w:r>
        <w:t>přispívá k prohloubení polarizace společnosti</w:t>
      </w:r>
      <w:r w:rsidR="002C7747">
        <w:t>.</w:t>
      </w:r>
      <w:r w:rsidR="002C7747">
        <w:rPr>
          <w:rStyle w:val="Znakapoznpodarou"/>
        </w:rPr>
        <w:footnoteReference w:id="15"/>
      </w:r>
      <w:r w:rsidR="0068151B">
        <w:t xml:space="preserve"> Polarizaci společnosti posiluje (zpravidla cíleně) také rozšiřování dezinformací</w:t>
      </w:r>
      <w:r w:rsidR="002C7747">
        <w:t xml:space="preserve">. </w:t>
      </w:r>
    </w:p>
    <w:p w14:paraId="4024C42F" w14:textId="77777777" w:rsidR="002C7747" w:rsidRDefault="002C7747" w:rsidP="002C7747">
      <w:pPr>
        <w:spacing w:after="120" w:line="240" w:lineRule="auto"/>
        <w:jc w:val="both"/>
      </w:pPr>
      <w:r>
        <w:t xml:space="preserve">Sociální média přetvářejí způsob, jakým lidé vnímají a asimilují informace, snižují význam tradičních médií ve veřejném diskurzu a podporují „ekonomiku pozornosti“, ve které jsou emocionální reakce stimulovány na úkor racionality. Tento </w:t>
      </w:r>
      <w:r w:rsidR="0064079C">
        <w:t xml:space="preserve">trend se </w:t>
      </w:r>
      <w:r>
        <w:t>projevuje v politice, duševním zdraví</w:t>
      </w:r>
      <w:r w:rsidR="0064079C">
        <w:t xml:space="preserve"> jednotlivců</w:t>
      </w:r>
      <w:r>
        <w:t>, závislostech a sociální soudržnost</w:t>
      </w:r>
      <w:r w:rsidR="0064079C">
        <w:t>i</w:t>
      </w:r>
      <w:r>
        <w:t xml:space="preserve">. Způsobuje </w:t>
      </w:r>
      <w:r w:rsidR="000E57FF">
        <w:t>rovněž</w:t>
      </w:r>
      <w:r>
        <w:t xml:space="preserve"> společenskou polarizaci, která </w:t>
      </w:r>
      <w:r w:rsidR="000E57FF">
        <w:t xml:space="preserve">je dále posilována dezinformacemi a </w:t>
      </w:r>
      <w:r>
        <w:t xml:space="preserve">masovou manipulací. </w:t>
      </w:r>
      <w:r w:rsidR="000E57FF">
        <w:t>Hrozí také posilování různých ideologií.</w:t>
      </w:r>
    </w:p>
    <w:p w14:paraId="5D87055B" w14:textId="77777777" w:rsidR="000E57FF" w:rsidRPr="000E57FF" w:rsidRDefault="000E57FF" w:rsidP="000E57FF">
      <w:pPr>
        <w:jc w:val="both"/>
        <w:rPr>
          <w:b/>
        </w:rPr>
      </w:pPr>
      <w:r w:rsidRPr="000E57FF">
        <w:t>V souvislosti s</w:t>
      </w:r>
      <w:r>
        <w:t xml:space="preserve"> globálním šířením nemocí roste riziko tzv. </w:t>
      </w:r>
      <w:proofErr w:type="spellStart"/>
      <w:r>
        <w:t>infodemie</w:t>
      </w:r>
      <w:proofErr w:type="spellEnd"/>
      <w:r>
        <w:rPr>
          <w:rStyle w:val="Znakapoznpodarou"/>
        </w:rPr>
        <w:footnoteReference w:id="16"/>
      </w:r>
      <w:r>
        <w:t xml:space="preserve"> spojené s přílišným množstvím informací, </w:t>
      </w:r>
      <w:r w:rsidRPr="000E57FF">
        <w:t xml:space="preserve">včetně nepravdivých nebo zavádějících informací v digitálním a fyzickém prostředí v době propuknutí nemoci. </w:t>
      </w:r>
      <w:proofErr w:type="spellStart"/>
      <w:r>
        <w:t>Infodemie</w:t>
      </w:r>
      <w:proofErr w:type="spellEnd"/>
      <w:r>
        <w:t xml:space="preserve"> z</w:t>
      </w:r>
      <w:r w:rsidRPr="000E57FF">
        <w:t xml:space="preserve">působuje zmatek a rizikové chování, které může </w:t>
      </w:r>
      <w:r>
        <w:t xml:space="preserve">vést nejen k poškození zdraví, ale také k </w:t>
      </w:r>
      <w:r w:rsidRPr="000E57FF">
        <w:t xml:space="preserve">nedůvěře ve zdravotnické orgány a </w:t>
      </w:r>
      <w:r>
        <w:t>systém</w:t>
      </w:r>
      <w:r w:rsidRPr="000E57FF">
        <w:t xml:space="preserve"> veřejného zdraví. </w:t>
      </w:r>
      <w:proofErr w:type="spellStart"/>
      <w:r w:rsidRPr="000E57FF">
        <w:t>Infodemie</w:t>
      </w:r>
      <w:proofErr w:type="spellEnd"/>
      <w:r w:rsidRPr="000E57FF">
        <w:t xml:space="preserve"> může zintenzivnit nebo prodloužit epidemii, když si lidé nejsou jisti, co mají dělat, aby ochránili své zdraví a zdraví lidí ve svém okolí. S rostoucí digitalizací - rozšířením sociálních médií a používání internetu - se</w:t>
      </w:r>
      <w:r>
        <w:t xml:space="preserve"> informace mohou šířit rychleji, což na jedné straně </w:t>
      </w:r>
      <w:r w:rsidRPr="000E57FF">
        <w:t>může přispět k rychlejšímu zaplnění informační mezery, ale také k</w:t>
      </w:r>
      <w:r>
        <w:t> posílení vlivu dezinformací, zavádějících či</w:t>
      </w:r>
      <w:r w:rsidRPr="000E57FF">
        <w:t xml:space="preserve"> škodlivých zpráv.</w:t>
      </w:r>
    </w:p>
    <w:p w14:paraId="1FE55C70" w14:textId="77777777" w:rsidR="00C22E2E" w:rsidRPr="00677442" w:rsidRDefault="00DC447F" w:rsidP="00677442">
      <w:pPr>
        <w:pStyle w:val="Nadpis1"/>
      </w:pPr>
      <w:bookmarkStart w:id="16" w:name="_Toc95920356"/>
      <w:r w:rsidRPr="00677442">
        <w:t>Společenské dopady technologické změny</w:t>
      </w:r>
      <w:bookmarkEnd w:id="16"/>
    </w:p>
    <w:p w14:paraId="3D17E923" w14:textId="77777777" w:rsidR="00116601" w:rsidRDefault="004B19BF" w:rsidP="004B19BF">
      <w:pPr>
        <w:jc w:val="both"/>
      </w:pPr>
      <w:r w:rsidRPr="004B19BF">
        <w:t xml:space="preserve">Zrychluje se pokrok ve vývoji a implementaci nových a rozvíjejících se technologií a prohlubují se jejich synergie. Dostupnost nových technologií a klesající náklady na jejich implementaci transformují celé systémy produkce a systémové organizace.  Digitalizace informací, služeb, trhů, transakcí a sociálních vazeb je stále intenzivnější. Exponenciální růst výpočetního výkonu, konektivity zařízení budou mít přímý vliv na ekonomický a společenský rozvoj. Generování velkého množství dat a </w:t>
      </w:r>
      <w:r w:rsidRPr="004B19BF">
        <w:lastRenderedPageBreak/>
        <w:t>informací a jejich shromažďování a využívání ovlivní vznik nových forem obchodu a přístupu na globální trh zboží i práce. Digitalizace produkce a automatizace výrobních procesů, peer-to-peer obchodní vazby budou nahrazovat tradiční instituce fungujících v subdodavatelských řetězcích. Technologie a míra jejich využívání také změní roli a způsob fungování veřejné správy a dalších veřejných institucí.</w:t>
      </w:r>
    </w:p>
    <w:p w14:paraId="5957C33F" w14:textId="77777777" w:rsidR="004B19BF" w:rsidRDefault="004B19BF" w:rsidP="004B19BF">
      <w:pPr>
        <w:spacing w:after="120" w:line="240" w:lineRule="auto"/>
        <w:jc w:val="both"/>
      </w:pPr>
      <w:r>
        <w:t xml:space="preserve">Technologické inovace jsou považovány za zásadní z hlediska růstu konkurenceschopnosti zemí, regionů i jednotlivých subjektů. Snaha o </w:t>
      </w:r>
      <w:r w:rsidR="00677442">
        <w:t xml:space="preserve">rychlé </w:t>
      </w:r>
      <w:r>
        <w:t>zavádění technologií však může vést k bezpečnostním rizikům</w:t>
      </w:r>
      <w:r w:rsidR="00E553F1">
        <w:rPr>
          <w:rStyle w:val="Znakapoznpodarou"/>
        </w:rPr>
        <w:footnoteReference w:id="17"/>
      </w:r>
      <w:r>
        <w:t>, zejména v rostoucím počtu kybernetických útoků. Dalším negativním aspektem rychlé technologické změny jsou dopady automatizace a robotizace. Automatizace rutinních pracovních činností mohou mít za následek silný tlak na trh práce a potažmo na systémy sociálního zabezpečení nezaměstnaných. Ztráta pracovních míst může mít větší dopad spíše ve venkovských oblastech, ale může také vést k rostoucí polarizaci ve městech. V tomto případě by mělo být cílem veřejné správy zajištění rekvalifikací a školení zaměstnanců ohrožených procesem automatizace výroby</w:t>
      </w:r>
      <w:r w:rsidR="00970506">
        <w:t>.</w:t>
      </w:r>
      <w:r w:rsidR="00E553F1">
        <w:rPr>
          <w:rStyle w:val="Znakapoznpodarou"/>
        </w:rPr>
        <w:footnoteReference w:id="18"/>
      </w:r>
    </w:p>
    <w:p w14:paraId="16EA386F" w14:textId="77777777" w:rsidR="00921865" w:rsidRDefault="00921865" w:rsidP="00921865">
      <w:pPr>
        <w:spacing w:after="120" w:line="240" w:lineRule="auto"/>
        <w:jc w:val="both"/>
      </w:pPr>
      <w:r>
        <w:t>Významným aspektem dynamické technologické změny je oblast etického vývoje technologií a jejich aplikací. Intenzivně diskutovaným tématem z etické perspektivy je v současnosti například vývoj umělé inteligence, kde právě fáze vývoje inteligentního systému hraje klíčovou roli při dalším využívání těchto systémů, které mohou sloužit jak prospěšným, tak i škodlivým účelům.</w:t>
      </w:r>
      <w:r>
        <w:rPr>
          <w:rStyle w:val="Znakapoznpodarou"/>
        </w:rPr>
        <w:footnoteReference w:id="19"/>
      </w:r>
      <w:r>
        <w:t xml:space="preserve"> Etickým otázkám je však potřeba věnovat pozornost u dalších technologických oblastí. </w:t>
      </w:r>
    </w:p>
    <w:p w14:paraId="3283A70F" w14:textId="77777777" w:rsidR="00DC447F" w:rsidRPr="00677442" w:rsidRDefault="00DC447F" w:rsidP="00677442">
      <w:pPr>
        <w:pStyle w:val="Nadpis1"/>
      </w:pPr>
      <w:bookmarkStart w:id="17" w:name="_Toc95920357"/>
      <w:r w:rsidRPr="00677442">
        <w:t>Nové obchodní</w:t>
      </w:r>
      <w:r w:rsidR="00116601" w:rsidRPr="00677442">
        <w:t>, pracovní</w:t>
      </w:r>
      <w:r w:rsidRPr="00677442">
        <w:t xml:space="preserve"> a spotřební modely</w:t>
      </w:r>
      <w:bookmarkEnd w:id="17"/>
    </w:p>
    <w:p w14:paraId="7FACAEC8" w14:textId="77777777" w:rsidR="00677442" w:rsidRDefault="00116601" w:rsidP="00677442">
      <w:pPr>
        <w:spacing w:after="120" w:line="240" w:lineRule="auto"/>
        <w:jc w:val="both"/>
      </w:pPr>
      <w:r w:rsidRPr="00116601">
        <w:rPr>
          <w:rFonts w:eastAsia="Nunito Sans" w:cstheme="minorHAnsi"/>
          <w:color w:val="000000"/>
        </w:rPr>
        <w:t xml:space="preserve">Technologický pokrok a stále silnější akcent k postupnému přechodu k udržitelnému rozvoji bude významně měnit formy ekonomické aktivity ve vyspělých společnostech. Budou se vytvářet nové </w:t>
      </w:r>
      <w:r>
        <w:rPr>
          <w:rFonts w:eastAsia="Nunito Sans" w:cstheme="minorHAnsi"/>
          <w:color w:val="000000"/>
        </w:rPr>
        <w:t>typy</w:t>
      </w:r>
      <w:r w:rsidRPr="00116601">
        <w:rPr>
          <w:rFonts w:eastAsia="Nunito Sans" w:cstheme="minorHAnsi"/>
          <w:color w:val="000000"/>
        </w:rPr>
        <w:t xml:space="preserve"> pracovních a obchodních modelů, jiným způsobem bude generován a distribuován společenský příjem. Do roku 2030 budou technologicky vyspělé generace představovat 75 % ekonomicky aktivní populace. Konektivita, digitalizace a automatizace výroby budou zvýhodňovat generace vstupující do pracovního života, ovlivňovat kariérní modely a organizační strukturu práce. Nové technologie mají potenciál nahradit rutinní i kognitivní pracovní úkony a současně zvýšit potřebu nových dovedností a tvorbu nových pracovních příležitostí.</w:t>
      </w:r>
      <w:r w:rsidR="00677442" w:rsidRPr="00677442">
        <w:t xml:space="preserve"> </w:t>
      </w:r>
      <w:r w:rsidR="00677442">
        <w:t>Např. umělá inteligence vytvoří některé nové druhy pracovních míst, ale v dlouhodobém horizontu pravděpodobně téměř eliminuje celé segmenty pracovního trhu, od řidičů nákladních vozidel a taxikářů až po některá vysoce kvalifikovaná pracovní místa.</w:t>
      </w:r>
      <w:r w:rsidR="00677442">
        <w:rPr>
          <w:rStyle w:val="Znakapoznpodarou"/>
        </w:rPr>
        <w:footnoteReference w:id="20"/>
      </w:r>
    </w:p>
    <w:p w14:paraId="1EBA21AC" w14:textId="77777777" w:rsidR="00116601" w:rsidRPr="00116601" w:rsidRDefault="00116601" w:rsidP="002C7747">
      <w:pPr>
        <w:spacing w:after="120" w:line="240" w:lineRule="auto"/>
        <w:jc w:val="both"/>
        <w:rPr>
          <w:rFonts w:cstheme="minorHAnsi"/>
        </w:rPr>
      </w:pPr>
      <w:r w:rsidRPr="00116601">
        <w:rPr>
          <w:rFonts w:eastAsia="Nunito Sans" w:cstheme="minorHAnsi"/>
          <w:color w:val="000000"/>
        </w:rPr>
        <w:t>ICT a online komunikace spolu se chytrou infrastrukturou budou ovlivňovat</w:t>
      </w:r>
      <w:r w:rsidR="00677442">
        <w:rPr>
          <w:rFonts w:eastAsia="Nunito Sans" w:cstheme="minorHAnsi"/>
          <w:color w:val="000000"/>
        </w:rPr>
        <w:t xml:space="preserve"> rovněž</w:t>
      </w:r>
      <w:r w:rsidRPr="00116601">
        <w:rPr>
          <w:rFonts w:eastAsia="Nunito Sans" w:cstheme="minorHAnsi"/>
          <w:color w:val="000000"/>
        </w:rPr>
        <w:t xml:space="preserve"> firemní strategie, výrobní procesy a obchodování. Výsledkem nových forem interakcí různých subjektů v ekosystému bude vznik odvětvových produkčních i obchodních praxí.</w:t>
      </w:r>
    </w:p>
    <w:p w14:paraId="65AA966E" w14:textId="77777777" w:rsidR="00116601" w:rsidRDefault="00116601" w:rsidP="002C7747">
      <w:pPr>
        <w:spacing w:after="120" w:line="240" w:lineRule="auto"/>
        <w:jc w:val="both"/>
      </w:pPr>
      <w:r>
        <w:t>Veřejný i soukromý sektor bude muset v blízké budoucnosti čelit významným příležitostem a výzvám, protože nové generace vstupující na pracovní trh</w:t>
      </w:r>
      <w:r w:rsidR="002C7747">
        <w:rPr>
          <w:rStyle w:val="Znakapoznpodarou"/>
        </w:rPr>
        <w:footnoteReference w:id="21"/>
      </w:r>
      <w:r>
        <w:t>, stejně jako starší generace, která na pracovním trhu zůstává déle</w:t>
      </w:r>
      <w:r w:rsidR="002C7747">
        <w:rPr>
          <w:rStyle w:val="Znakapoznpodarou"/>
        </w:rPr>
        <w:footnoteReference w:id="22"/>
      </w:r>
      <w:r>
        <w:t xml:space="preserve">, budou výrazně měnit kariérní modely a strukturu organizace práce.  Generace Y a </w:t>
      </w:r>
      <w:r>
        <w:lastRenderedPageBreak/>
        <w:t>Z budou přinášet do pracovního života znalosti a zkušenosti s novými technologiemi a s vysokou mírou konektivity. Budou mít mnohem větší schopnosti a ochotu pracovat kdekoliv na světě</w:t>
      </w:r>
      <w:r w:rsidR="002C7747">
        <w:t>.</w:t>
      </w:r>
      <w:r w:rsidR="002C7747">
        <w:rPr>
          <w:rStyle w:val="Znakapoznpodarou"/>
        </w:rPr>
        <w:footnoteReference w:id="23"/>
      </w:r>
      <w:r>
        <w:t xml:space="preserve"> </w:t>
      </w:r>
    </w:p>
    <w:p w14:paraId="5C59D6B9" w14:textId="77777777" w:rsidR="00116601" w:rsidRDefault="00116601" w:rsidP="002C7747">
      <w:pPr>
        <w:jc w:val="both"/>
      </w:pPr>
      <w:r>
        <w:t xml:space="preserve">Tyto trendy pravděpodobně povedou k určitým změnám ve vzdělávání. Díky digitalizaci a </w:t>
      </w:r>
      <w:proofErr w:type="spellStart"/>
      <w:r>
        <w:t>hyperkonektivitě</w:t>
      </w:r>
      <w:proofErr w:type="spellEnd"/>
      <w:r>
        <w:t xml:space="preserve"> bude stále větší část společnosti schopná pracovat s všudypřítomnými daty a znalostmi. Posilující trend automatizace bude od nově příchozích na pracovní trh vyžadovat nové schopnosti – především </w:t>
      </w:r>
      <w:r w:rsidR="002C7747">
        <w:t>úzkou specializaci a kreativitu.</w:t>
      </w:r>
      <w:r w:rsidR="002C7747">
        <w:rPr>
          <w:rStyle w:val="Znakapoznpodarou"/>
        </w:rPr>
        <w:footnoteReference w:id="24"/>
      </w:r>
      <w:r w:rsidR="002C7747">
        <w:t xml:space="preserve"> </w:t>
      </w:r>
      <w:r>
        <w:t xml:space="preserve">V důsledku toho se vzdělávání bude pravděpodobně stále více zaměřovat na </w:t>
      </w:r>
      <w:r w:rsidR="00677442">
        <w:t>rozvoj univerzálních a tzv. „měkkých“ dovedností a interdisciplinárních kompetencí.</w:t>
      </w:r>
      <w:r>
        <w:t xml:space="preserve"> </w:t>
      </w:r>
      <w:r w:rsidR="00677442">
        <w:t>V</w:t>
      </w:r>
      <w:r>
        <w:t>zdělávací systémy se stanou důležitějším determinantem národní konkurenceschopnosti.</w:t>
      </w:r>
      <w:r w:rsidR="002C7747">
        <w:rPr>
          <w:rStyle w:val="Znakapoznpodarou"/>
        </w:rPr>
        <w:footnoteReference w:id="25"/>
      </w:r>
    </w:p>
    <w:p w14:paraId="44828387" w14:textId="7CFB10D9" w:rsidR="0014411D" w:rsidRDefault="0014411D" w:rsidP="005F4C2D"/>
    <w:p w14:paraId="5DFCA716" w14:textId="77777777" w:rsidR="00D94E67" w:rsidRPr="00521E8F" w:rsidRDefault="00521E8F" w:rsidP="005F4C2D">
      <w:pPr>
        <w:rPr>
          <w:b/>
        </w:rPr>
      </w:pPr>
      <w:r w:rsidRPr="00521E8F">
        <w:rPr>
          <w:b/>
        </w:rPr>
        <w:t xml:space="preserve">Výzkumné prostředí </w:t>
      </w:r>
      <w:r w:rsidR="0014411D" w:rsidRPr="0014411D">
        <w:rPr>
          <w:b/>
        </w:rPr>
        <w:t>a nástroje podpory</w:t>
      </w:r>
    </w:p>
    <w:p w14:paraId="40A2D70D" w14:textId="77777777" w:rsidR="00521E8F" w:rsidRDefault="00D94E67" w:rsidP="000C5977">
      <w:r>
        <w:t>Tyto společenské výzvy motivují jak výzkum v přírodovědných či technických</w:t>
      </w:r>
      <w:r w:rsidR="00521E8F">
        <w:t xml:space="preserve"> a lékařských</w:t>
      </w:r>
      <w:r>
        <w:t xml:space="preserve"> oborech, tak výzkum s</w:t>
      </w:r>
      <w:r w:rsidR="000C5977">
        <w:t xml:space="preserve">polečenskovědní </w:t>
      </w:r>
      <w:r>
        <w:t>a humanitní. V některých společenskovědních oborech s</w:t>
      </w:r>
      <w:r w:rsidR="00521E8F">
        <w:t xml:space="preserve">vázaných s těmito výzvami </w:t>
      </w:r>
      <w:r>
        <w:t>ČR v mezinárodním srovnání vědecké výkonnosti významně zaostává, na</w:t>
      </w:r>
      <w:r w:rsidR="00B052AF">
        <w:t>př. v pedagogických oborech či</w:t>
      </w:r>
      <w:r>
        <w:t xml:space="preserve"> </w:t>
      </w:r>
      <w:r w:rsidR="00B052AF">
        <w:t xml:space="preserve">oborech se vztahem k veřejnému zdraví. </w:t>
      </w:r>
      <w:r w:rsidR="00521E8F">
        <w:t xml:space="preserve">Z toho vyplývá potřeba doplňkových nástrojů, neboť absentující obory v oblastech společenské poptávky nemohou </w:t>
      </w:r>
      <w:r w:rsidR="00B93C84">
        <w:t xml:space="preserve">v soutěžích </w:t>
      </w:r>
      <w:r w:rsidR="00521E8F">
        <w:t xml:space="preserve">konkurovat rozvinutým oborům se silnou </w:t>
      </w:r>
      <w:r w:rsidR="00B93C84">
        <w:t xml:space="preserve">výzkumnou </w:t>
      </w:r>
      <w:r w:rsidR="00521E8F">
        <w:t>základnou a historií podpory</w:t>
      </w:r>
      <w:r w:rsidR="0039240C">
        <w:t>, a potřeba podpory využívání administrativních zdrojů dat veřejné sféry pro aplikovaný výzkum</w:t>
      </w:r>
      <w:r w:rsidR="00521E8F">
        <w:t>.</w:t>
      </w:r>
      <w:r w:rsidR="0039240C">
        <w:t xml:space="preserve"> </w:t>
      </w:r>
    </w:p>
    <w:p w14:paraId="4220E251" w14:textId="2D19DCF4" w:rsidR="00457F5C" w:rsidRDefault="00457F5C" w:rsidP="0039240C">
      <w:r>
        <w:t xml:space="preserve">Mezi příklady společenskovědního výzkumu </w:t>
      </w:r>
      <w:r w:rsidR="00B052AF">
        <w:t xml:space="preserve">s vazbou na klimatickou a energetickou transformaci </w:t>
      </w:r>
      <w:r>
        <w:t xml:space="preserve">se řadí např. </w:t>
      </w:r>
      <w:r w:rsidR="00521E8F">
        <w:t>otázky volby</w:t>
      </w:r>
      <w:r>
        <w:t xml:space="preserve"> technologií a vliv</w:t>
      </w:r>
      <w:r w:rsidR="00521E8F">
        <w:t>u</w:t>
      </w:r>
      <w:r>
        <w:t xml:space="preserve"> veřejných politik na ni, či přijatelnost politik veřejností. </w:t>
      </w:r>
      <w:r w:rsidR="00B052AF">
        <w:t>Na s</w:t>
      </w:r>
      <w:r w:rsidR="0048336B">
        <w:t>tárnutí</w:t>
      </w:r>
      <w:r w:rsidR="00B93C84">
        <w:t xml:space="preserve"> populace má vazbu např. výzkumné téma </w:t>
      </w:r>
      <w:r w:rsidR="0048336B">
        <w:t>udržitelnost</w:t>
      </w:r>
      <w:r w:rsidR="00B052AF">
        <w:t>i</w:t>
      </w:r>
      <w:r w:rsidR="0048336B">
        <w:t xml:space="preserve"> zdravotní péče</w:t>
      </w:r>
      <w:r w:rsidR="00B052AF">
        <w:t xml:space="preserve">, která závisí nejen na léčebných postupech, ale i na existenci </w:t>
      </w:r>
      <w:r w:rsidR="000C5977">
        <w:t xml:space="preserve">empirického vyhodnocování nákladové efektivity </w:t>
      </w:r>
      <w:r w:rsidR="00B052AF">
        <w:t xml:space="preserve">péče a dopadů zdravotní politik, </w:t>
      </w:r>
      <w:r w:rsidR="0039240C">
        <w:t xml:space="preserve">či </w:t>
      </w:r>
      <w:r w:rsidR="00B052AF">
        <w:t>s</w:t>
      </w:r>
      <w:r w:rsidR="000C5977">
        <w:t>tudi</w:t>
      </w:r>
      <w:r w:rsidR="00B052AF">
        <w:t>a chování obyvatel a komunikačních strategií jako podpory preventivní péče.</w:t>
      </w:r>
      <w:r w:rsidR="0039240C">
        <w:t xml:space="preserve"> Podobně udržení demokracie vyžaduje výzk</w:t>
      </w:r>
      <w:r w:rsidR="00B93C84">
        <w:t xml:space="preserve">um metod boje s dezinformacemi a </w:t>
      </w:r>
      <w:r w:rsidR="0039240C">
        <w:t xml:space="preserve">metod podpory </w:t>
      </w:r>
      <w:r w:rsidR="0048336B">
        <w:t>mediální gramotnost</w:t>
      </w:r>
      <w:r w:rsidR="0039240C">
        <w:t>i, stejně jako digitalizace společnosti a ekonomiky vyvolává potřebu empiricky podložit reakci veřejných politik na trhu práce a ve vzdělávání.</w:t>
      </w:r>
      <w:r w:rsidR="00B93C84">
        <w:t xml:space="preserve"> </w:t>
      </w:r>
      <w:r w:rsidR="0014411D">
        <w:t>Kromě principu organizace vý</w:t>
      </w:r>
      <w:r w:rsidR="00B93C84">
        <w:t>zkum</w:t>
      </w:r>
      <w:r w:rsidR="0014411D">
        <w:t xml:space="preserve">ných potřeb </w:t>
      </w:r>
      <w:r w:rsidR="00B93C84">
        <w:t>na princ</w:t>
      </w:r>
      <w:r w:rsidR="0014411D">
        <w:t>ipech technologických inovací</w:t>
      </w:r>
      <w:r w:rsidR="00800C32">
        <w:t xml:space="preserve"> </w:t>
      </w:r>
      <w:r w:rsidR="0014411D">
        <w:t xml:space="preserve">je vhodné zvážit i schopnost </w:t>
      </w:r>
      <w:r w:rsidR="00800C32">
        <w:t xml:space="preserve">systému </w:t>
      </w:r>
      <w:proofErr w:type="spellStart"/>
      <w:r w:rsidR="00800C32">
        <w:t>VaVaI</w:t>
      </w:r>
      <w:proofErr w:type="spellEnd"/>
      <w:r w:rsidR="00800C32">
        <w:t xml:space="preserve"> </w:t>
      </w:r>
      <w:r w:rsidR="0014411D">
        <w:t>vytvářet empirickou podporu efektivního rozhodování v oblasti veřejných politik, která vychází celosvětově ze studia dopadů motivací a reforem veřejných politik na všechny segmenty společnosti</w:t>
      </w:r>
      <w:r w:rsidR="00800C32">
        <w:t>, tj. ze studia společenských procesů</w:t>
      </w:r>
      <w:r w:rsidR="0014411D">
        <w:t xml:space="preserve">. </w:t>
      </w:r>
    </w:p>
    <w:sectPr w:rsidR="00457F5C"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F2208" w14:textId="77777777" w:rsidR="00B93C84" w:rsidRDefault="00B93C84" w:rsidP="00F665E5">
      <w:pPr>
        <w:spacing w:after="0" w:line="240" w:lineRule="auto"/>
      </w:pPr>
      <w:r>
        <w:separator/>
      </w:r>
    </w:p>
  </w:endnote>
  <w:endnote w:type="continuationSeparator" w:id="0">
    <w:p w14:paraId="379FD221" w14:textId="77777777" w:rsidR="00B93C84" w:rsidRDefault="00B93C84" w:rsidP="00F6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uni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71A0B" w14:textId="77777777" w:rsidR="00B93C84" w:rsidRDefault="00B93C84" w:rsidP="00F665E5">
      <w:pPr>
        <w:spacing w:after="0" w:line="240" w:lineRule="auto"/>
      </w:pPr>
      <w:r>
        <w:separator/>
      </w:r>
    </w:p>
  </w:footnote>
  <w:footnote w:type="continuationSeparator" w:id="0">
    <w:p w14:paraId="0A8C533A" w14:textId="77777777" w:rsidR="00B93C84" w:rsidRDefault="00B93C84" w:rsidP="00F665E5">
      <w:pPr>
        <w:spacing w:after="0" w:line="240" w:lineRule="auto"/>
      </w:pPr>
      <w:r>
        <w:continuationSeparator/>
      </w:r>
    </w:p>
  </w:footnote>
  <w:footnote w:id="1">
    <w:p w14:paraId="020C135D" w14:textId="77777777" w:rsidR="00B93C84" w:rsidRDefault="00B93C84" w:rsidP="00E553F1">
      <w:pPr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bookmarkStart w:id="1" w:name="_Ref70683860"/>
      <w:proofErr w:type="spellStart"/>
      <w:r w:rsidRPr="00E553F1">
        <w:rPr>
          <w:sz w:val="18"/>
          <w:szCs w:val="18"/>
        </w:rPr>
        <w:t>European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Council</w:t>
      </w:r>
      <w:proofErr w:type="spellEnd"/>
      <w:r w:rsidRPr="00E553F1">
        <w:rPr>
          <w:sz w:val="18"/>
          <w:szCs w:val="18"/>
        </w:rPr>
        <w:t xml:space="preserve"> (2020): </w:t>
      </w:r>
      <w:proofErr w:type="spellStart"/>
      <w:r w:rsidRPr="00E553F1">
        <w:rPr>
          <w:sz w:val="18"/>
          <w:szCs w:val="18"/>
        </w:rPr>
        <w:t>European</w:t>
      </w:r>
      <w:proofErr w:type="spellEnd"/>
      <w:r w:rsidRPr="00E553F1">
        <w:rPr>
          <w:sz w:val="18"/>
          <w:szCs w:val="18"/>
        </w:rPr>
        <w:t xml:space="preserve"> Green </w:t>
      </w:r>
      <w:proofErr w:type="spellStart"/>
      <w:r w:rsidRPr="00E553F1">
        <w:rPr>
          <w:sz w:val="18"/>
          <w:szCs w:val="18"/>
        </w:rPr>
        <w:t>Deal</w:t>
      </w:r>
      <w:proofErr w:type="spellEnd"/>
      <w:r w:rsidRPr="00E553F1">
        <w:rPr>
          <w:sz w:val="18"/>
          <w:szCs w:val="18"/>
        </w:rPr>
        <w:t xml:space="preserve">.  </w:t>
      </w:r>
      <w:hyperlink r:id="rId1" w:history="1">
        <w:r w:rsidRPr="00E553F1">
          <w:rPr>
            <w:rStyle w:val="Hypertextovodkaz"/>
            <w:sz w:val="18"/>
            <w:szCs w:val="18"/>
          </w:rPr>
          <w:t>https://www.consilium.europa.eu/en/policies/green-deal/</w:t>
        </w:r>
      </w:hyperlink>
      <w:bookmarkEnd w:id="1"/>
    </w:p>
  </w:footnote>
  <w:footnote w:id="2">
    <w:p w14:paraId="244F97AD" w14:textId="77777777" w:rsidR="00B93C84" w:rsidRPr="00E553F1" w:rsidRDefault="00B93C84" w:rsidP="00E553F1">
      <w:pPr>
        <w:spacing w:after="0" w:line="240" w:lineRule="auto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bookmarkStart w:id="2" w:name="_Ref70678660"/>
      <w:r w:rsidRPr="00E553F1">
        <w:rPr>
          <w:sz w:val="18"/>
          <w:szCs w:val="18"/>
        </w:rPr>
        <w:t xml:space="preserve">IPBES (2019): </w:t>
      </w:r>
      <w:proofErr w:type="spellStart"/>
      <w:r w:rsidRPr="00E553F1">
        <w:rPr>
          <w:sz w:val="18"/>
          <w:szCs w:val="18"/>
        </w:rPr>
        <w:t>Summary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for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policymakers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of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the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global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assessment</w:t>
      </w:r>
      <w:proofErr w:type="spellEnd"/>
      <w:r w:rsidRPr="00E553F1">
        <w:rPr>
          <w:sz w:val="18"/>
          <w:szCs w:val="18"/>
        </w:rPr>
        <w:t xml:space="preserve"> report on biodiversity and </w:t>
      </w:r>
      <w:proofErr w:type="spellStart"/>
      <w:r w:rsidRPr="00E553F1">
        <w:rPr>
          <w:sz w:val="18"/>
          <w:szCs w:val="18"/>
        </w:rPr>
        <w:t>ecosystem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service</w:t>
      </w:r>
      <w:bookmarkStart w:id="3" w:name="_Hlk70678480"/>
      <w:r w:rsidRPr="00E553F1">
        <w:rPr>
          <w:sz w:val="18"/>
          <w:szCs w:val="18"/>
        </w:rPr>
        <w:t>s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of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the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Intergovernmental</w:t>
      </w:r>
      <w:proofErr w:type="spellEnd"/>
      <w:r w:rsidRPr="00E553F1">
        <w:rPr>
          <w:sz w:val="18"/>
          <w:szCs w:val="18"/>
        </w:rPr>
        <w:t xml:space="preserve"> Science-</w:t>
      </w:r>
      <w:proofErr w:type="spellStart"/>
      <w:r w:rsidRPr="00E553F1">
        <w:rPr>
          <w:sz w:val="18"/>
          <w:szCs w:val="18"/>
        </w:rPr>
        <w:t>Policy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Platform</w:t>
      </w:r>
      <w:proofErr w:type="spellEnd"/>
      <w:r w:rsidRPr="00E553F1">
        <w:rPr>
          <w:sz w:val="18"/>
          <w:szCs w:val="18"/>
        </w:rPr>
        <w:t xml:space="preserve"> on Biodiversity and </w:t>
      </w:r>
      <w:proofErr w:type="spellStart"/>
      <w:r w:rsidRPr="00E553F1">
        <w:rPr>
          <w:sz w:val="18"/>
          <w:szCs w:val="18"/>
        </w:rPr>
        <w:t>Ecosystem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Services</w:t>
      </w:r>
      <w:proofErr w:type="spellEnd"/>
      <w:r w:rsidRPr="00E553F1">
        <w:rPr>
          <w:sz w:val="18"/>
          <w:szCs w:val="18"/>
        </w:rPr>
        <w:t xml:space="preserve">. </w:t>
      </w:r>
      <w:r w:rsidRPr="00E553F1">
        <w:rPr>
          <w:sz w:val="18"/>
          <w:szCs w:val="18"/>
        </w:rPr>
        <w:fldChar w:fldCharType="begin"/>
      </w:r>
      <w:r w:rsidRPr="00E553F1">
        <w:rPr>
          <w:sz w:val="18"/>
          <w:szCs w:val="18"/>
        </w:rPr>
        <w:instrText xml:space="preserve"> HYPERLINK "https://ipbes.net/sites/de</w:instrText>
      </w:r>
      <w:bookmarkEnd w:id="3"/>
      <w:r w:rsidRPr="00E553F1">
        <w:rPr>
          <w:sz w:val="18"/>
          <w:szCs w:val="18"/>
        </w:rPr>
        <w:instrText xml:space="preserve">fault/files/2020-02/ipbes_global_assessment_report_summary_for_policymakers_en.pdf" </w:instrText>
      </w:r>
      <w:r w:rsidRPr="00E553F1">
        <w:rPr>
          <w:sz w:val="18"/>
          <w:szCs w:val="18"/>
        </w:rPr>
        <w:fldChar w:fldCharType="separate"/>
      </w:r>
      <w:r w:rsidRPr="00E553F1">
        <w:rPr>
          <w:rStyle w:val="Hypertextovodkaz"/>
          <w:sz w:val="18"/>
          <w:szCs w:val="18"/>
        </w:rPr>
        <w:t>https://ipbes.net/sites/default/files/2020-02/ipbes_global_assessment_report_summary_for_policymakers_en.pdf</w:t>
      </w:r>
      <w:r w:rsidRPr="00E553F1">
        <w:rPr>
          <w:sz w:val="18"/>
          <w:szCs w:val="18"/>
        </w:rPr>
        <w:fldChar w:fldCharType="end"/>
      </w:r>
      <w:bookmarkEnd w:id="2"/>
    </w:p>
  </w:footnote>
  <w:footnote w:id="3">
    <w:p w14:paraId="1C7A86DE" w14:textId="77777777" w:rsidR="00B93C84" w:rsidRDefault="00B93C84" w:rsidP="00E553F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4" w:name="_Ref70679351"/>
      <w:r w:rsidRPr="003B3246">
        <w:rPr>
          <w:sz w:val="18"/>
          <w:szCs w:val="18"/>
        </w:rPr>
        <w:t xml:space="preserve">WWF (2020): </w:t>
      </w:r>
      <w:proofErr w:type="spellStart"/>
      <w:r w:rsidRPr="003B3246">
        <w:rPr>
          <w:sz w:val="18"/>
          <w:szCs w:val="18"/>
        </w:rPr>
        <w:t>Living</w:t>
      </w:r>
      <w:proofErr w:type="spellEnd"/>
      <w:r w:rsidRPr="003B3246">
        <w:rPr>
          <w:sz w:val="18"/>
          <w:szCs w:val="18"/>
        </w:rPr>
        <w:t xml:space="preserve"> Planet Report 2020 - </w:t>
      </w:r>
      <w:proofErr w:type="spellStart"/>
      <w:r w:rsidRPr="003B3246">
        <w:rPr>
          <w:sz w:val="18"/>
          <w:szCs w:val="18"/>
        </w:rPr>
        <w:t>Bending</w:t>
      </w:r>
      <w:proofErr w:type="spellEnd"/>
      <w:r w:rsidRPr="003B3246">
        <w:rPr>
          <w:sz w:val="18"/>
          <w:szCs w:val="18"/>
        </w:rPr>
        <w:t xml:space="preserve"> </w:t>
      </w:r>
      <w:proofErr w:type="spellStart"/>
      <w:r w:rsidRPr="003B3246">
        <w:rPr>
          <w:sz w:val="18"/>
          <w:szCs w:val="18"/>
        </w:rPr>
        <w:t>the</w:t>
      </w:r>
      <w:proofErr w:type="spellEnd"/>
      <w:r w:rsidRPr="003B3246">
        <w:rPr>
          <w:sz w:val="18"/>
          <w:szCs w:val="18"/>
        </w:rPr>
        <w:t xml:space="preserve"> </w:t>
      </w:r>
      <w:proofErr w:type="spellStart"/>
      <w:r w:rsidRPr="003B3246">
        <w:rPr>
          <w:sz w:val="18"/>
          <w:szCs w:val="18"/>
        </w:rPr>
        <w:t>curve</w:t>
      </w:r>
      <w:proofErr w:type="spellEnd"/>
      <w:r w:rsidRPr="003B3246">
        <w:rPr>
          <w:sz w:val="18"/>
          <w:szCs w:val="18"/>
        </w:rPr>
        <w:t xml:space="preserve"> </w:t>
      </w:r>
      <w:proofErr w:type="spellStart"/>
      <w:r w:rsidRPr="003B3246">
        <w:rPr>
          <w:sz w:val="18"/>
          <w:szCs w:val="18"/>
        </w:rPr>
        <w:t>of</w:t>
      </w:r>
      <w:proofErr w:type="spellEnd"/>
      <w:r w:rsidRPr="003B3246">
        <w:rPr>
          <w:sz w:val="18"/>
          <w:szCs w:val="18"/>
        </w:rPr>
        <w:t xml:space="preserve"> biodiversity </w:t>
      </w:r>
      <w:proofErr w:type="spellStart"/>
      <w:r w:rsidRPr="003B3246">
        <w:rPr>
          <w:sz w:val="18"/>
          <w:szCs w:val="18"/>
        </w:rPr>
        <w:t>loss</w:t>
      </w:r>
      <w:proofErr w:type="spellEnd"/>
      <w:r w:rsidRPr="003B3246">
        <w:rPr>
          <w:sz w:val="18"/>
          <w:szCs w:val="18"/>
        </w:rPr>
        <w:t xml:space="preserve">. WWF, </w:t>
      </w:r>
      <w:proofErr w:type="spellStart"/>
      <w:r w:rsidRPr="003B3246">
        <w:rPr>
          <w:sz w:val="18"/>
          <w:szCs w:val="18"/>
        </w:rPr>
        <w:t>Switzerland</w:t>
      </w:r>
      <w:proofErr w:type="spellEnd"/>
      <w:r w:rsidRPr="003B3246">
        <w:rPr>
          <w:sz w:val="18"/>
          <w:szCs w:val="18"/>
        </w:rPr>
        <w:t xml:space="preserve">. </w:t>
      </w:r>
      <w:hyperlink r:id="rId2" w:history="1">
        <w:r w:rsidRPr="003B3246">
          <w:rPr>
            <w:rStyle w:val="Hypertextovodkaz"/>
            <w:sz w:val="18"/>
            <w:szCs w:val="18"/>
          </w:rPr>
          <w:t>https://www.zsl.org/sites/default/files/LPR%202020%20Full%20report.pdf</w:t>
        </w:r>
      </w:hyperlink>
      <w:bookmarkEnd w:id="4"/>
    </w:p>
  </w:footnote>
  <w:footnote w:id="4">
    <w:p w14:paraId="2394B3EA" w14:textId="77777777" w:rsidR="00B93C84" w:rsidRDefault="00B93C8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5" w:name="_Ref70679831"/>
      <w:r w:rsidRPr="003B3246">
        <w:rPr>
          <w:sz w:val="18"/>
          <w:szCs w:val="18"/>
        </w:rPr>
        <w:t xml:space="preserve">EEA Report (2019): </w:t>
      </w:r>
      <w:proofErr w:type="spellStart"/>
      <w:r w:rsidRPr="003B3246">
        <w:rPr>
          <w:sz w:val="18"/>
          <w:szCs w:val="18"/>
        </w:rPr>
        <w:t>Drivers</w:t>
      </w:r>
      <w:proofErr w:type="spellEnd"/>
      <w:r w:rsidRPr="003B3246">
        <w:rPr>
          <w:sz w:val="18"/>
          <w:szCs w:val="18"/>
        </w:rPr>
        <w:t xml:space="preserve"> </w:t>
      </w:r>
      <w:proofErr w:type="spellStart"/>
      <w:r w:rsidRPr="003B3246">
        <w:rPr>
          <w:sz w:val="18"/>
          <w:szCs w:val="18"/>
        </w:rPr>
        <w:t>of</w:t>
      </w:r>
      <w:proofErr w:type="spellEnd"/>
      <w:r w:rsidRPr="003B3246">
        <w:rPr>
          <w:sz w:val="18"/>
          <w:szCs w:val="18"/>
        </w:rPr>
        <w:t xml:space="preserve"> </w:t>
      </w:r>
      <w:proofErr w:type="spellStart"/>
      <w:r w:rsidRPr="003B3246">
        <w:rPr>
          <w:sz w:val="18"/>
          <w:szCs w:val="18"/>
        </w:rPr>
        <w:t>change</w:t>
      </w:r>
      <w:proofErr w:type="spellEnd"/>
      <w:r w:rsidRPr="003B3246">
        <w:rPr>
          <w:sz w:val="18"/>
          <w:szCs w:val="18"/>
        </w:rPr>
        <w:t xml:space="preserve"> </w:t>
      </w:r>
      <w:proofErr w:type="spellStart"/>
      <w:r w:rsidRPr="003B3246">
        <w:rPr>
          <w:sz w:val="18"/>
          <w:szCs w:val="18"/>
        </w:rPr>
        <w:t>of</w:t>
      </w:r>
      <w:proofErr w:type="spellEnd"/>
      <w:r w:rsidRPr="003B3246">
        <w:rPr>
          <w:sz w:val="18"/>
          <w:szCs w:val="18"/>
        </w:rPr>
        <w:t xml:space="preserve"> relevance </w:t>
      </w:r>
      <w:proofErr w:type="spellStart"/>
      <w:r w:rsidRPr="003B3246">
        <w:rPr>
          <w:sz w:val="18"/>
          <w:szCs w:val="18"/>
        </w:rPr>
        <w:t>for</w:t>
      </w:r>
      <w:proofErr w:type="spellEnd"/>
      <w:r w:rsidRPr="003B3246">
        <w:rPr>
          <w:sz w:val="18"/>
          <w:szCs w:val="18"/>
        </w:rPr>
        <w:t xml:space="preserve"> </w:t>
      </w:r>
      <w:proofErr w:type="spellStart"/>
      <w:r w:rsidRPr="003B3246">
        <w:rPr>
          <w:sz w:val="18"/>
          <w:szCs w:val="18"/>
        </w:rPr>
        <w:t>Europe's</w:t>
      </w:r>
      <w:proofErr w:type="spellEnd"/>
      <w:r w:rsidRPr="003B3246">
        <w:rPr>
          <w:sz w:val="18"/>
          <w:szCs w:val="18"/>
        </w:rPr>
        <w:t xml:space="preserve"> </w:t>
      </w:r>
      <w:proofErr w:type="spellStart"/>
      <w:r w:rsidRPr="003B3246">
        <w:rPr>
          <w:sz w:val="18"/>
          <w:szCs w:val="18"/>
        </w:rPr>
        <w:t>environment</w:t>
      </w:r>
      <w:proofErr w:type="spellEnd"/>
      <w:r w:rsidRPr="003B3246">
        <w:rPr>
          <w:sz w:val="18"/>
          <w:szCs w:val="18"/>
        </w:rPr>
        <w:t xml:space="preserve"> and </w:t>
      </w:r>
      <w:proofErr w:type="spellStart"/>
      <w:r w:rsidRPr="003B3246">
        <w:rPr>
          <w:sz w:val="18"/>
          <w:szCs w:val="18"/>
        </w:rPr>
        <w:t>sustainability</w:t>
      </w:r>
      <w:proofErr w:type="spellEnd"/>
      <w:r w:rsidRPr="003B3246">
        <w:rPr>
          <w:sz w:val="18"/>
          <w:szCs w:val="18"/>
        </w:rPr>
        <w:t xml:space="preserve">. </w:t>
      </w:r>
      <w:proofErr w:type="spellStart"/>
      <w:r w:rsidRPr="003B3246">
        <w:rPr>
          <w:sz w:val="18"/>
          <w:szCs w:val="18"/>
        </w:rPr>
        <w:t>Louxwmbourg</w:t>
      </w:r>
      <w:proofErr w:type="spellEnd"/>
      <w:r w:rsidRPr="003B3246">
        <w:rPr>
          <w:sz w:val="18"/>
          <w:szCs w:val="18"/>
        </w:rPr>
        <w:t xml:space="preserve">. </w:t>
      </w:r>
      <w:hyperlink r:id="rId3" w:history="1">
        <w:r w:rsidRPr="003B3246">
          <w:rPr>
            <w:rStyle w:val="Hypertextovodkaz"/>
            <w:sz w:val="18"/>
            <w:szCs w:val="18"/>
          </w:rPr>
          <w:t>https://www.eea.europa.eu/publications/drivers-of-change</w:t>
        </w:r>
      </w:hyperlink>
      <w:bookmarkEnd w:id="5"/>
    </w:p>
  </w:footnote>
  <w:footnote w:id="5">
    <w:p w14:paraId="1AC6D381" w14:textId="77777777" w:rsidR="00B93C84" w:rsidRDefault="00B93C8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4" w:history="1">
        <w:r w:rsidRPr="00B15D1A">
          <w:rPr>
            <w:rStyle w:val="Hypertextovodkaz"/>
          </w:rPr>
          <w:t>https://ec.europa.eu/info/research-and-innovation/funding/funding-opportunities/funding-programmes-and-open-calls/horizon-europe/eu-missions-horizon-europe/adaptation-climate-change-including-societal-transformation_en</w:t>
        </w:r>
      </w:hyperlink>
      <w:r>
        <w:t xml:space="preserve"> </w:t>
      </w:r>
    </w:p>
  </w:footnote>
  <w:footnote w:id="6">
    <w:p w14:paraId="58ACB7E1" w14:textId="77777777" w:rsidR="00B93C84" w:rsidRDefault="00B93C84" w:rsidP="00465FB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5" w:history="1">
        <w:r w:rsidRPr="003B3246">
          <w:rPr>
            <w:rStyle w:val="Hypertextovodkaz"/>
            <w:sz w:val="18"/>
            <w:szCs w:val="18"/>
          </w:rPr>
          <w:t>https://www.eea.europa.eu/publications/drivers-of-change</w:t>
        </w:r>
      </w:hyperlink>
    </w:p>
  </w:footnote>
  <w:footnote w:id="7">
    <w:p w14:paraId="75171F88" w14:textId="77777777" w:rsidR="00B93C84" w:rsidRDefault="00B93C84" w:rsidP="00465FB2">
      <w:pPr>
        <w:spacing w:after="0"/>
      </w:pPr>
      <w:r>
        <w:rPr>
          <w:rStyle w:val="Znakapoznpodarou"/>
        </w:rPr>
        <w:footnoteRef/>
      </w:r>
      <w:r>
        <w:t xml:space="preserve"> </w:t>
      </w:r>
      <w:hyperlink r:id="rId6" w:history="1">
        <w:r w:rsidRPr="005272AD">
          <w:rPr>
            <w:rStyle w:val="Hypertextovodkaz"/>
            <w:sz w:val="18"/>
            <w:szCs w:val="18"/>
          </w:rPr>
          <w:t>https://knowledge4policy.ec.europa.eu/foresight/topic/aggravating-resource-scarcity/global-demand-resources-material</w:t>
        </w:r>
        <w:r w:rsidRPr="005272AD">
          <w:rPr>
            <w:rStyle w:val="Hypertextovodkaz"/>
            <w:b/>
            <w:sz w:val="18"/>
            <w:szCs w:val="18"/>
          </w:rPr>
          <w:t>s_en</w:t>
        </w:r>
      </w:hyperlink>
    </w:p>
  </w:footnote>
  <w:footnote w:id="8">
    <w:p w14:paraId="13219AB9" w14:textId="77777777" w:rsidR="00B93C84" w:rsidRDefault="00B93C84" w:rsidP="00465FB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7" w:history="1">
        <w:r w:rsidRPr="003B3246">
          <w:rPr>
            <w:rStyle w:val="Hypertextovodkaz"/>
            <w:sz w:val="18"/>
            <w:szCs w:val="18"/>
          </w:rPr>
          <w:t>https://www.europarl.europa.eu/RegData/etudes/STUD/2017/603263/EPRS_STU(2017)603263_EN.pdf</w:t>
        </w:r>
      </w:hyperlink>
    </w:p>
  </w:footnote>
  <w:footnote w:id="9">
    <w:p w14:paraId="0B39577E" w14:textId="77777777" w:rsidR="00B93C84" w:rsidRDefault="00B93C84" w:rsidP="00116601">
      <w:pPr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bookmarkStart w:id="9" w:name="_Ref69495411"/>
      <w:proofErr w:type="spellStart"/>
      <w:r w:rsidRPr="00F665E5">
        <w:rPr>
          <w:sz w:val="18"/>
          <w:szCs w:val="18"/>
        </w:rPr>
        <w:t>Deloitte</w:t>
      </w:r>
      <w:proofErr w:type="spellEnd"/>
      <w:r w:rsidRPr="00F665E5">
        <w:rPr>
          <w:sz w:val="18"/>
          <w:szCs w:val="18"/>
        </w:rPr>
        <w:t xml:space="preserve"> (2017). </w:t>
      </w:r>
      <w:proofErr w:type="spellStart"/>
      <w:r w:rsidRPr="00F665E5">
        <w:rPr>
          <w:iCs/>
          <w:sz w:val="18"/>
          <w:szCs w:val="18"/>
        </w:rPr>
        <w:t>Beyond</w:t>
      </w:r>
      <w:proofErr w:type="spellEnd"/>
      <w:r w:rsidRPr="00F665E5">
        <w:rPr>
          <w:iCs/>
          <w:sz w:val="18"/>
          <w:szCs w:val="18"/>
        </w:rPr>
        <w:t xml:space="preserve"> </w:t>
      </w:r>
      <w:proofErr w:type="spellStart"/>
      <w:r w:rsidRPr="00F665E5">
        <w:rPr>
          <w:iCs/>
          <w:sz w:val="18"/>
          <w:szCs w:val="18"/>
        </w:rPr>
        <w:t>the</w:t>
      </w:r>
      <w:proofErr w:type="spellEnd"/>
      <w:r w:rsidRPr="00F665E5">
        <w:rPr>
          <w:iCs/>
          <w:sz w:val="18"/>
          <w:szCs w:val="18"/>
        </w:rPr>
        <w:t xml:space="preserve"> </w:t>
      </w:r>
      <w:proofErr w:type="spellStart"/>
      <w:r w:rsidRPr="00F665E5">
        <w:rPr>
          <w:iCs/>
          <w:sz w:val="18"/>
          <w:szCs w:val="18"/>
        </w:rPr>
        <w:t>Noise</w:t>
      </w:r>
      <w:proofErr w:type="spellEnd"/>
      <w:r w:rsidRPr="00F665E5">
        <w:rPr>
          <w:iCs/>
          <w:sz w:val="18"/>
          <w:szCs w:val="18"/>
        </w:rPr>
        <w:t xml:space="preserve">: </w:t>
      </w:r>
      <w:proofErr w:type="spellStart"/>
      <w:r w:rsidRPr="00F665E5">
        <w:rPr>
          <w:iCs/>
          <w:sz w:val="18"/>
          <w:szCs w:val="18"/>
        </w:rPr>
        <w:t>The</w:t>
      </w:r>
      <w:proofErr w:type="spellEnd"/>
      <w:r w:rsidRPr="00F665E5">
        <w:rPr>
          <w:iCs/>
          <w:sz w:val="18"/>
          <w:szCs w:val="18"/>
        </w:rPr>
        <w:t xml:space="preserve"> </w:t>
      </w:r>
      <w:proofErr w:type="spellStart"/>
      <w:r w:rsidRPr="00F665E5">
        <w:rPr>
          <w:iCs/>
          <w:sz w:val="18"/>
          <w:szCs w:val="18"/>
        </w:rPr>
        <w:t>Megatrends</w:t>
      </w:r>
      <w:proofErr w:type="spellEnd"/>
      <w:r w:rsidRPr="00F665E5">
        <w:rPr>
          <w:iCs/>
          <w:sz w:val="18"/>
          <w:szCs w:val="18"/>
        </w:rPr>
        <w:t xml:space="preserve"> </w:t>
      </w:r>
      <w:proofErr w:type="spellStart"/>
      <w:r w:rsidRPr="00F665E5">
        <w:rPr>
          <w:iCs/>
          <w:sz w:val="18"/>
          <w:szCs w:val="18"/>
        </w:rPr>
        <w:t>of</w:t>
      </w:r>
      <w:proofErr w:type="spellEnd"/>
      <w:r w:rsidRPr="00F665E5">
        <w:rPr>
          <w:iCs/>
          <w:sz w:val="18"/>
          <w:szCs w:val="18"/>
        </w:rPr>
        <w:t xml:space="preserve"> </w:t>
      </w:r>
      <w:proofErr w:type="spellStart"/>
      <w:r w:rsidRPr="00F665E5">
        <w:rPr>
          <w:iCs/>
          <w:sz w:val="18"/>
          <w:szCs w:val="18"/>
        </w:rPr>
        <w:t>Tomorrow’s</w:t>
      </w:r>
      <w:proofErr w:type="spellEnd"/>
      <w:r w:rsidRPr="00F665E5">
        <w:rPr>
          <w:iCs/>
          <w:sz w:val="18"/>
          <w:szCs w:val="18"/>
        </w:rPr>
        <w:t xml:space="preserve"> </w:t>
      </w:r>
      <w:proofErr w:type="spellStart"/>
      <w:r w:rsidRPr="00F665E5">
        <w:rPr>
          <w:iCs/>
          <w:sz w:val="18"/>
          <w:szCs w:val="18"/>
        </w:rPr>
        <w:t>World</w:t>
      </w:r>
      <w:proofErr w:type="spellEnd"/>
      <w:r w:rsidRPr="00F665E5">
        <w:rPr>
          <w:sz w:val="18"/>
          <w:szCs w:val="18"/>
        </w:rPr>
        <w:t>.</w:t>
      </w:r>
      <w:bookmarkEnd w:id="9"/>
      <w:r w:rsidRPr="00F665E5">
        <w:rPr>
          <w:sz w:val="18"/>
          <w:szCs w:val="18"/>
        </w:rPr>
        <w:t xml:space="preserve"> </w:t>
      </w:r>
      <w:hyperlink r:id="rId8" w:history="1">
        <w:r w:rsidRPr="00DB28BD">
          <w:rPr>
            <w:rStyle w:val="Hypertextovodkaz"/>
            <w:sz w:val="18"/>
            <w:szCs w:val="18"/>
          </w:rPr>
          <w:t>https://www2.deloitte.com/content/dam/Deloitte/nl/Documents/public-sector/deloitte-nl-ps-megatrends-2ndedition.pdf</w:t>
        </w:r>
      </w:hyperlink>
    </w:p>
  </w:footnote>
  <w:footnote w:id="10">
    <w:p w14:paraId="31DE3DAA" w14:textId="77777777" w:rsidR="00B93C84" w:rsidRDefault="00B93C84" w:rsidP="001166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10" w:name="_Ref69495594"/>
      <w:r w:rsidRPr="00DB28BD">
        <w:rPr>
          <w:sz w:val="18"/>
          <w:szCs w:val="18"/>
        </w:rPr>
        <w:t xml:space="preserve">EY (2018). </w:t>
      </w:r>
      <w:proofErr w:type="spellStart"/>
      <w:r w:rsidRPr="00DB28BD">
        <w:rPr>
          <w:iCs/>
          <w:sz w:val="18"/>
          <w:szCs w:val="18"/>
        </w:rPr>
        <w:t>What’s</w:t>
      </w:r>
      <w:proofErr w:type="spellEnd"/>
      <w:r w:rsidRPr="00DB28BD">
        <w:rPr>
          <w:iCs/>
          <w:sz w:val="18"/>
          <w:szCs w:val="18"/>
        </w:rPr>
        <w:t xml:space="preserve"> </w:t>
      </w:r>
      <w:proofErr w:type="spellStart"/>
      <w:r w:rsidRPr="00DB28BD">
        <w:rPr>
          <w:iCs/>
          <w:sz w:val="18"/>
          <w:szCs w:val="18"/>
        </w:rPr>
        <w:t>After</w:t>
      </w:r>
      <w:proofErr w:type="spellEnd"/>
      <w:r w:rsidRPr="00DB28BD">
        <w:rPr>
          <w:iCs/>
          <w:sz w:val="18"/>
          <w:szCs w:val="18"/>
        </w:rPr>
        <w:t xml:space="preserve"> </w:t>
      </w:r>
      <w:proofErr w:type="spellStart"/>
      <w:r w:rsidRPr="00DB28BD">
        <w:rPr>
          <w:iCs/>
          <w:sz w:val="18"/>
          <w:szCs w:val="18"/>
        </w:rPr>
        <w:t>What’s</w:t>
      </w:r>
      <w:proofErr w:type="spellEnd"/>
      <w:r w:rsidRPr="00DB28BD">
        <w:rPr>
          <w:iCs/>
          <w:sz w:val="18"/>
          <w:szCs w:val="18"/>
        </w:rPr>
        <w:t xml:space="preserve"> </w:t>
      </w:r>
      <w:proofErr w:type="spellStart"/>
      <w:r w:rsidRPr="00DB28BD">
        <w:rPr>
          <w:iCs/>
          <w:sz w:val="18"/>
          <w:szCs w:val="18"/>
        </w:rPr>
        <w:t>Next</w:t>
      </w:r>
      <w:proofErr w:type="spellEnd"/>
      <w:r w:rsidRPr="00DB28BD">
        <w:rPr>
          <w:iCs/>
          <w:sz w:val="18"/>
          <w:szCs w:val="18"/>
        </w:rPr>
        <w:t xml:space="preserve">? </w:t>
      </w:r>
      <w:proofErr w:type="spellStart"/>
      <w:r w:rsidRPr="00DB28BD">
        <w:rPr>
          <w:iCs/>
          <w:sz w:val="18"/>
          <w:szCs w:val="18"/>
        </w:rPr>
        <w:t>The</w:t>
      </w:r>
      <w:proofErr w:type="spellEnd"/>
      <w:r w:rsidRPr="00DB28BD">
        <w:rPr>
          <w:iCs/>
          <w:sz w:val="18"/>
          <w:szCs w:val="18"/>
        </w:rPr>
        <w:t xml:space="preserve"> </w:t>
      </w:r>
      <w:proofErr w:type="spellStart"/>
      <w:r w:rsidRPr="00DB28BD">
        <w:rPr>
          <w:iCs/>
          <w:sz w:val="18"/>
          <w:szCs w:val="18"/>
        </w:rPr>
        <w:t>Upside</w:t>
      </w:r>
      <w:proofErr w:type="spellEnd"/>
      <w:r w:rsidRPr="00DB28BD">
        <w:rPr>
          <w:iCs/>
          <w:sz w:val="18"/>
          <w:szCs w:val="18"/>
        </w:rPr>
        <w:t xml:space="preserve"> </w:t>
      </w:r>
      <w:proofErr w:type="spellStart"/>
      <w:r w:rsidRPr="00DB28BD">
        <w:rPr>
          <w:iCs/>
          <w:sz w:val="18"/>
          <w:szCs w:val="18"/>
        </w:rPr>
        <w:t>of</w:t>
      </w:r>
      <w:proofErr w:type="spellEnd"/>
      <w:r w:rsidRPr="00DB28BD">
        <w:rPr>
          <w:iCs/>
          <w:sz w:val="18"/>
          <w:szCs w:val="18"/>
        </w:rPr>
        <w:t xml:space="preserve"> </w:t>
      </w:r>
      <w:proofErr w:type="spellStart"/>
      <w:r w:rsidRPr="00DB28BD">
        <w:rPr>
          <w:iCs/>
          <w:sz w:val="18"/>
          <w:szCs w:val="18"/>
        </w:rPr>
        <w:t>Disruption</w:t>
      </w:r>
      <w:proofErr w:type="spellEnd"/>
      <w:r w:rsidRPr="00DB28BD">
        <w:rPr>
          <w:iCs/>
          <w:sz w:val="18"/>
          <w:szCs w:val="18"/>
        </w:rPr>
        <w:t xml:space="preserve">: </w:t>
      </w:r>
      <w:proofErr w:type="spellStart"/>
      <w:r w:rsidRPr="00DB28BD">
        <w:rPr>
          <w:iCs/>
          <w:sz w:val="18"/>
          <w:szCs w:val="18"/>
        </w:rPr>
        <w:t>Megatrends</w:t>
      </w:r>
      <w:proofErr w:type="spellEnd"/>
      <w:r w:rsidRPr="00DB28BD">
        <w:rPr>
          <w:iCs/>
          <w:sz w:val="18"/>
          <w:szCs w:val="18"/>
        </w:rPr>
        <w:t xml:space="preserve"> </w:t>
      </w:r>
      <w:proofErr w:type="spellStart"/>
      <w:r w:rsidRPr="00DB28BD">
        <w:rPr>
          <w:iCs/>
          <w:sz w:val="18"/>
          <w:szCs w:val="18"/>
        </w:rPr>
        <w:t>Shaping</w:t>
      </w:r>
      <w:proofErr w:type="spellEnd"/>
      <w:r w:rsidRPr="00DB28BD">
        <w:rPr>
          <w:iCs/>
          <w:sz w:val="18"/>
          <w:szCs w:val="18"/>
        </w:rPr>
        <w:t xml:space="preserve"> 2018 and </w:t>
      </w:r>
      <w:proofErr w:type="spellStart"/>
      <w:r w:rsidRPr="00DB28BD">
        <w:rPr>
          <w:iCs/>
          <w:sz w:val="18"/>
          <w:szCs w:val="18"/>
        </w:rPr>
        <w:t>Beyond</w:t>
      </w:r>
      <w:proofErr w:type="spellEnd"/>
      <w:r w:rsidRPr="00DB28BD">
        <w:rPr>
          <w:sz w:val="18"/>
          <w:szCs w:val="18"/>
        </w:rPr>
        <w:t xml:space="preserve">. </w:t>
      </w:r>
      <w:hyperlink r:id="rId9" w:history="1">
        <w:r w:rsidRPr="00DB28BD">
          <w:rPr>
            <w:rStyle w:val="Hypertextovodkaz"/>
            <w:sz w:val="18"/>
            <w:szCs w:val="18"/>
          </w:rPr>
          <w:t>https://www.megatrends2018.com/</w:t>
        </w:r>
      </w:hyperlink>
      <w:bookmarkEnd w:id="10"/>
    </w:p>
  </w:footnote>
  <w:footnote w:id="11">
    <w:p w14:paraId="35F061C6" w14:textId="77777777" w:rsidR="00B93C84" w:rsidRDefault="00B93C84" w:rsidP="00116601">
      <w:pPr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bookmarkStart w:id="11" w:name="_Ref69495761"/>
      <w:r w:rsidRPr="00F665E5">
        <w:rPr>
          <w:sz w:val="18"/>
          <w:szCs w:val="18"/>
        </w:rPr>
        <w:t xml:space="preserve">Sydney Business </w:t>
      </w:r>
      <w:proofErr w:type="spellStart"/>
      <w:r w:rsidRPr="00F665E5">
        <w:rPr>
          <w:sz w:val="18"/>
          <w:szCs w:val="18"/>
        </w:rPr>
        <w:t>Insights</w:t>
      </w:r>
      <w:proofErr w:type="spellEnd"/>
      <w:r w:rsidRPr="00F665E5">
        <w:rPr>
          <w:sz w:val="18"/>
          <w:szCs w:val="18"/>
        </w:rPr>
        <w:t xml:space="preserve">. (2019). </w:t>
      </w:r>
      <w:proofErr w:type="spellStart"/>
      <w:r w:rsidRPr="00F665E5">
        <w:rPr>
          <w:iCs/>
          <w:sz w:val="18"/>
          <w:szCs w:val="18"/>
        </w:rPr>
        <w:t>Megatrends</w:t>
      </w:r>
      <w:proofErr w:type="spellEnd"/>
      <w:r w:rsidRPr="00F665E5">
        <w:rPr>
          <w:iCs/>
          <w:sz w:val="18"/>
          <w:szCs w:val="18"/>
        </w:rPr>
        <w:t>.</w:t>
      </w:r>
      <w:bookmarkEnd w:id="11"/>
      <w:r w:rsidRPr="00F665E5">
        <w:rPr>
          <w:iCs/>
          <w:sz w:val="18"/>
          <w:szCs w:val="18"/>
        </w:rPr>
        <w:t xml:space="preserve"> </w:t>
      </w:r>
      <w:hyperlink r:id="rId10" w:history="1">
        <w:r w:rsidRPr="00DB28BD">
          <w:rPr>
            <w:rStyle w:val="Hypertextovodkaz"/>
            <w:sz w:val="18"/>
            <w:szCs w:val="18"/>
          </w:rPr>
          <w:t>http://sbi.sydney.edu.au/megatrends/our-megatrends/</w:t>
        </w:r>
      </w:hyperlink>
    </w:p>
  </w:footnote>
  <w:footnote w:id="12">
    <w:p w14:paraId="61E3B98D" w14:textId="77777777" w:rsidR="00B93C84" w:rsidRPr="00116601" w:rsidRDefault="00B93C84" w:rsidP="00116601">
      <w:pPr>
        <w:spacing w:after="0" w:line="240" w:lineRule="auto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bookmarkStart w:id="12" w:name="_Ref69415592"/>
      <w:r w:rsidRPr="00116601">
        <w:rPr>
          <w:sz w:val="18"/>
          <w:szCs w:val="18"/>
        </w:rPr>
        <w:t xml:space="preserve">OECD (2019). OECD </w:t>
      </w:r>
      <w:proofErr w:type="spellStart"/>
      <w:r w:rsidRPr="00116601">
        <w:rPr>
          <w:sz w:val="18"/>
          <w:szCs w:val="18"/>
        </w:rPr>
        <w:t>Regional</w:t>
      </w:r>
      <w:proofErr w:type="spellEnd"/>
      <w:r w:rsidRPr="00116601">
        <w:rPr>
          <w:sz w:val="18"/>
          <w:szCs w:val="18"/>
        </w:rPr>
        <w:t xml:space="preserve"> Outlook 2019: </w:t>
      </w:r>
      <w:proofErr w:type="spellStart"/>
      <w:r w:rsidRPr="00116601">
        <w:rPr>
          <w:sz w:val="18"/>
          <w:szCs w:val="18"/>
        </w:rPr>
        <w:t>Leveraging</w:t>
      </w:r>
      <w:proofErr w:type="spellEnd"/>
      <w:r w:rsidRPr="00116601">
        <w:rPr>
          <w:sz w:val="18"/>
          <w:szCs w:val="18"/>
        </w:rPr>
        <w:t xml:space="preserve"> </w:t>
      </w:r>
      <w:proofErr w:type="spellStart"/>
      <w:r w:rsidRPr="00116601">
        <w:rPr>
          <w:sz w:val="18"/>
          <w:szCs w:val="18"/>
        </w:rPr>
        <w:t>Megatrends</w:t>
      </w:r>
      <w:proofErr w:type="spellEnd"/>
      <w:r w:rsidRPr="00116601">
        <w:rPr>
          <w:sz w:val="18"/>
          <w:szCs w:val="18"/>
        </w:rPr>
        <w:t xml:space="preserve"> </w:t>
      </w:r>
      <w:proofErr w:type="spellStart"/>
      <w:r w:rsidRPr="00116601">
        <w:rPr>
          <w:sz w:val="18"/>
          <w:szCs w:val="18"/>
        </w:rPr>
        <w:t>for</w:t>
      </w:r>
      <w:proofErr w:type="spellEnd"/>
      <w:r w:rsidRPr="00116601">
        <w:rPr>
          <w:sz w:val="18"/>
          <w:szCs w:val="18"/>
        </w:rPr>
        <w:t xml:space="preserve"> </w:t>
      </w:r>
      <w:proofErr w:type="spellStart"/>
      <w:r w:rsidRPr="00116601">
        <w:rPr>
          <w:sz w:val="18"/>
          <w:szCs w:val="18"/>
        </w:rPr>
        <w:t>Cities</w:t>
      </w:r>
      <w:proofErr w:type="spellEnd"/>
      <w:r w:rsidRPr="00116601">
        <w:rPr>
          <w:sz w:val="18"/>
          <w:szCs w:val="18"/>
        </w:rPr>
        <w:t xml:space="preserve"> and </w:t>
      </w:r>
      <w:proofErr w:type="spellStart"/>
      <w:r w:rsidRPr="00116601">
        <w:rPr>
          <w:sz w:val="18"/>
          <w:szCs w:val="18"/>
        </w:rPr>
        <w:t>Rural</w:t>
      </w:r>
      <w:proofErr w:type="spellEnd"/>
      <w:r w:rsidRPr="00116601">
        <w:rPr>
          <w:sz w:val="18"/>
          <w:szCs w:val="18"/>
        </w:rPr>
        <w:t xml:space="preserve"> </w:t>
      </w:r>
      <w:proofErr w:type="spellStart"/>
      <w:r w:rsidRPr="00116601">
        <w:rPr>
          <w:sz w:val="18"/>
          <w:szCs w:val="18"/>
        </w:rPr>
        <w:t>Areas</w:t>
      </w:r>
      <w:proofErr w:type="spellEnd"/>
      <w:r w:rsidRPr="00116601">
        <w:rPr>
          <w:sz w:val="18"/>
          <w:szCs w:val="18"/>
        </w:rPr>
        <w:t>.</w:t>
      </w:r>
      <w:bookmarkEnd w:id="12"/>
    </w:p>
    <w:p w14:paraId="78524124" w14:textId="77777777" w:rsidR="00B93C84" w:rsidRDefault="00D8062A" w:rsidP="00116601">
      <w:pPr>
        <w:pStyle w:val="Textpoznpodarou"/>
      </w:pPr>
      <w:hyperlink r:id="rId11" w:anchor="page1" w:history="1">
        <w:r w:rsidR="00B93C84" w:rsidRPr="00D478C5">
          <w:rPr>
            <w:rStyle w:val="Hypertextovodkaz"/>
            <w:sz w:val="18"/>
            <w:szCs w:val="18"/>
          </w:rPr>
          <w:t>https://read.oecd-ilibrary.org/urban-rural-and-regional-development/oecd-regional-outlook-2019/summary/english_964b90d8-en#page1</w:t>
        </w:r>
      </w:hyperlink>
    </w:p>
  </w:footnote>
  <w:footnote w:id="13">
    <w:p w14:paraId="069A0A00" w14:textId="77777777" w:rsidR="00B93C84" w:rsidRDefault="00B93C84">
      <w:pPr>
        <w:pStyle w:val="Textpoznpodarou"/>
      </w:pPr>
      <w:r>
        <w:rPr>
          <w:rStyle w:val="Znakapoznpodarou"/>
        </w:rPr>
        <w:footnoteRef/>
      </w:r>
      <w:r>
        <w:t xml:space="preserve"> OECD (2021). </w:t>
      </w:r>
      <w:proofErr w:type="spellStart"/>
      <w:r w:rsidRPr="0064079C">
        <w:t>Living</w:t>
      </w:r>
      <w:proofErr w:type="spellEnd"/>
      <w:r w:rsidRPr="0064079C">
        <w:t xml:space="preserve"> </w:t>
      </w:r>
      <w:proofErr w:type="spellStart"/>
      <w:r w:rsidRPr="0064079C">
        <w:t>Arrangements</w:t>
      </w:r>
      <w:proofErr w:type="spellEnd"/>
      <w:r w:rsidRPr="0064079C">
        <w:t xml:space="preserve"> </w:t>
      </w:r>
      <w:r>
        <w:t>b</w:t>
      </w:r>
      <w:r w:rsidRPr="0064079C">
        <w:t xml:space="preserve">y Age </w:t>
      </w:r>
      <w:proofErr w:type="spellStart"/>
      <w:r w:rsidRPr="0064079C">
        <w:t>Groups</w:t>
      </w:r>
      <w:proofErr w:type="spellEnd"/>
      <w:r>
        <w:t xml:space="preserve">. </w:t>
      </w:r>
      <w:hyperlink r:id="rId12" w:history="1">
        <w:r w:rsidRPr="00B15D1A">
          <w:rPr>
            <w:rStyle w:val="Hypertextovodkaz"/>
          </w:rPr>
          <w:t>https://www.oecd.org/els/family/HM1-4-Living-arrangements-age-groups.pdf</w:t>
        </w:r>
      </w:hyperlink>
      <w:r>
        <w:t xml:space="preserve"> </w:t>
      </w:r>
    </w:p>
  </w:footnote>
  <w:footnote w:id="14">
    <w:p w14:paraId="5E7E68A8" w14:textId="77777777" w:rsidR="00B93C84" w:rsidRDefault="00B93C84">
      <w:pPr>
        <w:pStyle w:val="Textpoznpodarou"/>
      </w:pPr>
      <w:r>
        <w:rPr>
          <w:rStyle w:val="Znakapoznpodarou"/>
        </w:rPr>
        <w:footnoteRef/>
      </w:r>
      <w:r>
        <w:t xml:space="preserve"> EPRS (</w:t>
      </w:r>
      <w:r w:rsidRPr="00A04B71">
        <w:t>2017</w:t>
      </w:r>
      <w:r>
        <w:t>)</w:t>
      </w:r>
      <w:r w:rsidRPr="00A04B71">
        <w:t xml:space="preserve">. </w:t>
      </w:r>
      <w:proofErr w:type="spellStart"/>
      <w:r w:rsidRPr="00A04B71">
        <w:t>Global</w:t>
      </w:r>
      <w:proofErr w:type="spellEnd"/>
      <w:r w:rsidRPr="00A04B71">
        <w:t xml:space="preserve"> </w:t>
      </w:r>
      <w:proofErr w:type="spellStart"/>
      <w:r w:rsidRPr="00A04B71">
        <w:t>Trends</w:t>
      </w:r>
      <w:proofErr w:type="spellEnd"/>
      <w:r w:rsidRPr="00A04B71">
        <w:t xml:space="preserve"> to 2035 - </w:t>
      </w:r>
      <w:proofErr w:type="spellStart"/>
      <w:r w:rsidRPr="00A04B71">
        <w:t>Geo-politics</w:t>
      </w:r>
      <w:proofErr w:type="spellEnd"/>
      <w:r w:rsidRPr="00A04B71">
        <w:t xml:space="preserve"> and </w:t>
      </w:r>
      <w:proofErr w:type="spellStart"/>
      <w:r w:rsidRPr="00A04B71">
        <w:t>international</w:t>
      </w:r>
      <w:proofErr w:type="spellEnd"/>
      <w:r w:rsidRPr="00A04B71">
        <w:t xml:space="preserve"> </w:t>
      </w:r>
      <w:proofErr w:type="spellStart"/>
      <w:r w:rsidRPr="00A04B71">
        <w:t>power</w:t>
      </w:r>
      <w:proofErr w:type="spellEnd"/>
      <w:r>
        <w:t xml:space="preserve">. </w:t>
      </w:r>
      <w:hyperlink r:id="rId13" w:history="1">
        <w:r w:rsidRPr="00B15D1A">
          <w:rPr>
            <w:rStyle w:val="Hypertextovodkaz"/>
          </w:rPr>
          <w:t>https://www.europarl.europa.eu/RegData/etudes/STUD/2017/603263/EPRS_STU(2017)603263_EN.pdf</w:t>
        </w:r>
      </w:hyperlink>
      <w:r>
        <w:t xml:space="preserve"> </w:t>
      </w:r>
    </w:p>
  </w:footnote>
  <w:footnote w:id="15">
    <w:p w14:paraId="3281D9E3" w14:textId="77777777" w:rsidR="00B93C84" w:rsidRDefault="00B93C84" w:rsidP="002C7747">
      <w:pPr>
        <w:spacing w:after="0" w:line="240" w:lineRule="auto"/>
        <w:jc w:val="both"/>
      </w:pPr>
      <w:r>
        <w:rPr>
          <w:rStyle w:val="Znakapoznpodarou"/>
        </w:rPr>
        <w:footnoteRef/>
      </w:r>
      <w:r>
        <w:t xml:space="preserve"> </w:t>
      </w:r>
      <w:bookmarkStart w:id="15" w:name="_Ref69827605"/>
      <w:r w:rsidRPr="00E553F1">
        <w:rPr>
          <w:sz w:val="18"/>
          <w:szCs w:val="18"/>
        </w:rPr>
        <w:t>PWC (</w:t>
      </w:r>
      <w:proofErr w:type="spellStart"/>
      <w:r w:rsidRPr="00E553F1">
        <w:rPr>
          <w:sz w:val="18"/>
          <w:szCs w:val="18"/>
        </w:rPr>
        <w:t>PricewaterhouseCoopers</w:t>
      </w:r>
      <w:proofErr w:type="spellEnd"/>
      <w:r w:rsidRPr="00E553F1">
        <w:rPr>
          <w:sz w:val="18"/>
          <w:szCs w:val="18"/>
        </w:rPr>
        <w:t xml:space="preserve">). (2019). </w:t>
      </w:r>
      <w:proofErr w:type="spellStart"/>
      <w:r w:rsidRPr="00E553F1">
        <w:rPr>
          <w:iCs/>
          <w:sz w:val="18"/>
          <w:szCs w:val="18"/>
        </w:rPr>
        <w:t>Megatrends</w:t>
      </w:r>
      <w:proofErr w:type="spellEnd"/>
      <w:r w:rsidRPr="00E553F1">
        <w:rPr>
          <w:sz w:val="18"/>
          <w:szCs w:val="18"/>
        </w:rPr>
        <w:t>.</w:t>
      </w:r>
      <w:bookmarkEnd w:id="15"/>
      <w:r>
        <w:rPr>
          <w:sz w:val="18"/>
          <w:szCs w:val="18"/>
        </w:rPr>
        <w:t xml:space="preserve"> </w:t>
      </w:r>
      <w:hyperlink r:id="rId14" w:history="1">
        <w:r w:rsidRPr="00DB28BD">
          <w:rPr>
            <w:rStyle w:val="Hypertextovodkaz"/>
            <w:sz w:val="18"/>
            <w:szCs w:val="18"/>
          </w:rPr>
          <w:t>https://www.pwc.co.uk/issues/megatrends.html</w:t>
        </w:r>
      </w:hyperlink>
    </w:p>
  </w:footnote>
  <w:footnote w:id="16">
    <w:p w14:paraId="3A909FAC" w14:textId="77777777" w:rsidR="00B93C84" w:rsidRDefault="00B93C84">
      <w:pPr>
        <w:pStyle w:val="Textpoznpodarou"/>
      </w:pPr>
      <w:r>
        <w:rPr>
          <w:rStyle w:val="Znakapoznpodarou"/>
        </w:rPr>
        <w:footnoteRef/>
      </w:r>
      <w:r>
        <w:t xml:space="preserve"> Viz např. </w:t>
      </w:r>
      <w:hyperlink r:id="rId15" w:anchor="tab=tab_1" w:history="1">
        <w:r w:rsidRPr="00B15D1A">
          <w:rPr>
            <w:rStyle w:val="Hypertextovodkaz"/>
          </w:rPr>
          <w:t>https://www.who.int/health-topics/infodemic#tab=tab_1</w:t>
        </w:r>
      </w:hyperlink>
      <w:r>
        <w:t xml:space="preserve"> </w:t>
      </w:r>
    </w:p>
  </w:footnote>
  <w:footnote w:id="17">
    <w:p w14:paraId="594A6AE4" w14:textId="77777777" w:rsidR="00B93C84" w:rsidRDefault="00B93C84" w:rsidP="00E553F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Deloitte</w:t>
      </w:r>
      <w:proofErr w:type="spellEnd"/>
      <w:r>
        <w:t xml:space="preserve"> (2017). </w:t>
      </w:r>
      <w:proofErr w:type="spellStart"/>
      <w:r>
        <w:t>Beyond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Noise</w:t>
      </w:r>
      <w:proofErr w:type="spellEnd"/>
      <w:r>
        <w:t xml:space="preserve">: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Megatrends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Tomorrow’s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. </w:t>
      </w:r>
    </w:p>
    <w:p w14:paraId="16F38BC4" w14:textId="77777777" w:rsidR="00B93C84" w:rsidRDefault="00D8062A" w:rsidP="00E553F1">
      <w:pPr>
        <w:pStyle w:val="Textpoznpodarou"/>
      </w:pPr>
      <w:hyperlink r:id="rId16" w:history="1">
        <w:r w:rsidR="00B93C84" w:rsidRPr="00B15D1A">
          <w:rPr>
            <w:rStyle w:val="Hypertextovodkaz"/>
          </w:rPr>
          <w:t>https://www2.deloitte.com/content/dam/Deloitte/nl/Documents/public-sector/deloitte-nl-ps-megatrends-2ndedition.pdf</w:t>
        </w:r>
      </w:hyperlink>
      <w:r w:rsidR="00B93C84">
        <w:t xml:space="preserve"> </w:t>
      </w:r>
    </w:p>
  </w:footnote>
  <w:footnote w:id="18">
    <w:p w14:paraId="18459700" w14:textId="77777777" w:rsidR="00B93C84" w:rsidRPr="00E553F1" w:rsidRDefault="00B93C84" w:rsidP="00E553F1">
      <w:pPr>
        <w:spacing w:after="0" w:line="240" w:lineRule="auto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553F1">
        <w:rPr>
          <w:sz w:val="18"/>
          <w:szCs w:val="18"/>
        </w:rPr>
        <w:t xml:space="preserve">OECD (2019). OECD </w:t>
      </w:r>
      <w:proofErr w:type="spellStart"/>
      <w:r w:rsidRPr="00E553F1">
        <w:rPr>
          <w:sz w:val="18"/>
          <w:szCs w:val="18"/>
        </w:rPr>
        <w:t>Regional</w:t>
      </w:r>
      <w:proofErr w:type="spellEnd"/>
      <w:r w:rsidRPr="00E553F1">
        <w:rPr>
          <w:sz w:val="18"/>
          <w:szCs w:val="18"/>
        </w:rPr>
        <w:t xml:space="preserve"> Outlook 2019: </w:t>
      </w:r>
      <w:proofErr w:type="spellStart"/>
      <w:r w:rsidRPr="00E553F1">
        <w:rPr>
          <w:sz w:val="18"/>
          <w:szCs w:val="18"/>
        </w:rPr>
        <w:t>Leveraging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Megatrends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for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Cities</w:t>
      </w:r>
      <w:proofErr w:type="spellEnd"/>
      <w:r w:rsidRPr="00E553F1">
        <w:rPr>
          <w:sz w:val="18"/>
          <w:szCs w:val="18"/>
        </w:rPr>
        <w:t xml:space="preserve"> and </w:t>
      </w:r>
      <w:proofErr w:type="spellStart"/>
      <w:r w:rsidRPr="00E553F1">
        <w:rPr>
          <w:sz w:val="18"/>
          <w:szCs w:val="18"/>
        </w:rPr>
        <w:t>Rural</w:t>
      </w:r>
      <w:proofErr w:type="spellEnd"/>
      <w:r w:rsidRPr="00E553F1">
        <w:rPr>
          <w:sz w:val="18"/>
          <w:szCs w:val="18"/>
        </w:rPr>
        <w:t xml:space="preserve"> </w:t>
      </w:r>
      <w:proofErr w:type="spellStart"/>
      <w:r w:rsidRPr="00E553F1">
        <w:rPr>
          <w:sz w:val="18"/>
          <w:szCs w:val="18"/>
        </w:rPr>
        <w:t>Areas</w:t>
      </w:r>
      <w:proofErr w:type="spellEnd"/>
      <w:r w:rsidRPr="00E553F1">
        <w:rPr>
          <w:sz w:val="18"/>
          <w:szCs w:val="18"/>
        </w:rPr>
        <w:t>.</w:t>
      </w:r>
    </w:p>
    <w:p w14:paraId="40BEA8B3" w14:textId="77777777" w:rsidR="00B93C84" w:rsidRDefault="00D8062A" w:rsidP="00E553F1">
      <w:pPr>
        <w:pStyle w:val="Textpoznpodarou"/>
      </w:pPr>
      <w:hyperlink r:id="rId17" w:anchor="page1" w:history="1">
        <w:r w:rsidR="00B93C84" w:rsidRPr="00D478C5">
          <w:rPr>
            <w:rStyle w:val="Hypertextovodkaz"/>
            <w:sz w:val="18"/>
            <w:szCs w:val="18"/>
          </w:rPr>
          <w:t>https://read.oecd-ilibrary.org/urban-rural-and-regional-development/oecd-regional-outlook-2019/summary/english_964b90d8-en#page1</w:t>
        </w:r>
      </w:hyperlink>
    </w:p>
  </w:footnote>
  <w:footnote w:id="19">
    <w:p w14:paraId="6D5AC2BA" w14:textId="77777777" w:rsidR="00B93C84" w:rsidRDefault="00B93C8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 xml:space="preserve">UNI GLOBAL UNION. Top 10 </w:t>
      </w:r>
      <w:proofErr w:type="spellStart"/>
      <w:r>
        <w:rPr>
          <w:sz w:val="18"/>
          <w:szCs w:val="18"/>
        </w:rPr>
        <w:t>Principles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for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Ethical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Artificial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Intelligence</w:t>
      </w:r>
      <w:proofErr w:type="spellEnd"/>
      <w:r>
        <w:rPr>
          <w:sz w:val="18"/>
          <w:szCs w:val="18"/>
        </w:rPr>
        <w:t xml:space="preserve">. In: </w:t>
      </w:r>
      <w:proofErr w:type="spellStart"/>
      <w:r>
        <w:rPr>
          <w:i/>
          <w:iCs/>
          <w:sz w:val="18"/>
          <w:szCs w:val="18"/>
        </w:rPr>
        <w:t>The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Future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World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of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Work</w:t>
      </w:r>
      <w:proofErr w:type="spellEnd"/>
      <w:r>
        <w:rPr>
          <w:i/>
          <w:iCs/>
          <w:sz w:val="18"/>
          <w:szCs w:val="18"/>
        </w:rPr>
        <w:t xml:space="preserve">. </w:t>
      </w:r>
      <w:r>
        <w:rPr>
          <w:sz w:val="18"/>
          <w:szCs w:val="18"/>
        </w:rPr>
        <w:t xml:space="preserve">Dostupné z: </w:t>
      </w:r>
      <w:r>
        <w:rPr>
          <w:color w:val="0000FF"/>
          <w:sz w:val="18"/>
          <w:szCs w:val="18"/>
        </w:rPr>
        <w:t>http://www.thefutureworldofwork.org/media/35420/uni_ethical_ai.pdf</w:t>
      </w:r>
      <w:r>
        <w:rPr>
          <w:sz w:val="18"/>
          <w:szCs w:val="18"/>
        </w:rPr>
        <w:t xml:space="preserve">. </w:t>
      </w:r>
      <w:r>
        <w:t xml:space="preserve"> </w:t>
      </w:r>
    </w:p>
  </w:footnote>
  <w:footnote w:id="20">
    <w:p w14:paraId="4DED4265" w14:textId="77777777" w:rsidR="00B93C84" w:rsidRDefault="00B93C84" w:rsidP="00677442">
      <w:pPr>
        <w:pStyle w:val="Textpoznpodarou"/>
      </w:pPr>
      <w:r>
        <w:rPr>
          <w:rStyle w:val="Znakapoznpodarou"/>
        </w:rPr>
        <w:footnoteRef/>
      </w:r>
      <w:r>
        <w:t xml:space="preserve"> Winston, A.R. (2019).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in 2030: </w:t>
      </w:r>
      <w:proofErr w:type="spellStart"/>
      <w:r>
        <w:t>Nine</w:t>
      </w:r>
      <w:proofErr w:type="spellEnd"/>
      <w:r>
        <w:t xml:space="preserve"> </w:t>
      </w:r>
      <w:proofErr w:type="spellStart"/>
      <w:r>
        <w:t>Megatrends</w:t>
      </w:r>
      <w:proofErr w:type="spellEnd"/>
      <w:r>
        <w:t xml:space="preserve"> to </w:t>
      </w:r>
      <w:proofErr w:type="spellStart"/>
      <w:r>
        <w:t>Watch</w:t>
      </w:r>
      <w:proofErr w:type="spellEnd"/>
      <w:r>
        <w:t xml:space="preserve">. Massachusetts Institute </w:t>
      </w:r>
      <w:proofErr w:type="spellStart"/>
      <w:r>
        <w:t>of</w:t>
      </w:r>
      <w:proofErr w:type="spellEnd"/>
      <w:r>
        <w:t xml:space="preserve"> Technology </w:t>
      </w:r>
      <w:proofErr w:type="spellStart"/>
      <w:r>
        <w:t>Sloan</w:t>
      </w:r>
      <w:proofErr w:type="spellEnd"/>
      <w:r>
        <w:t xml:space="preserve"> Management </w:t>
      </w:r>
      <w:proofErr w:type="spellStart"/>
      <w:r>
        <w:t>Review</w:t>
      </w:r>
      <w:proofErr w:type="spellEnd"/>
      <w:r>
        <w:t xml:space="preserve">. </w:t>
      </w:r>
      <w:hyperlink r:id="rId18" w:history="1">
        <w:r w:rsidRPr="00B15D1A">
          <w:rPr>
            <w:rStyle w:val="Hypertextovodkaz"/>
          </w:rPr>
          <w:t>https://sloanreview.mit.edu/article/the-world-in-2030-nine-megatrends-to-watch/</w:t>
        </w:r>
      </w:hyperlink>
      <w:r>
        <w:t xml:space="preserve"> </w:t>
      </w:r>
    </w:p>
  </w:footnote>
  <w:footnote w:id="21">
    <w:p w14:paraId="2218FB07" w14:textId="77777777" w:rsidR="00B93C84" w:rsidRDefault="00B93C84" w:rsidP="002C7747">
      <w:pPr>
        <w:spacing w:after="0" w:line="240" w:lineRule="auto"/>
        <w:jc w:val="both"/>
      </w:pPr>
      <w:r>
        <w:rPr>
          <w:rStyle w:val="Znakapoznpodarou"/>
        </w:rPr>
        <w:footnoteRef/>
      </w:r>
      <w:r>
        <w:t xml:space="preserve"> </w:t>
      </w:r>
      <w:r w:rsidRPr="002C7747">
        <w:rPr>
          <w:sz w:val="18"/>
          <w:szCs w:val="18"/>
        </w:rPr>
        <w:t xml:space="preserve">Sydney Business </w:t>
      </w:r>
      <w:proofErr w:type="spellStart"/>
      <w:r w:rsidRPr="002C7747">
        <w:rPr>
          <w:sz w:val="18"/>
          <w:szCs w:val="18"/>
        </w:rPr>
        <w:t>Insights</w:t>
      </w:r>
      <w:proofErr w:type="spellEnd"/>
      <w:r w:rsidRPr="002C7747">
        <w:rPr>
          <w:sz w:val="18"/>
          <w:szCs w:val="18"/>
        </w:rPr>
        <w:t xml:space="preserve">. (2019). </w:t>
      </w:r>
      <w:proofErr w:type="spellStart"/>
      <w:r w:rsidRPr="002C7747">
        <w:rPr>
          <w:iCs/>
          <w:sz w:val="18"/>
          <w:szCs w:val="18"/>
        </w:rPr>
        <w:t>Megatrends</w:t>
      </w:r>
      <w:proofErr w:type="spellEnd"/>
      <w:r w:rsidRPr="002C7747">
        <w:rPr>
          <w:iCs/>
          <w:sz w:val="18"/>
          <w:szCs w:val="18"/>
        </w:rPr>
        <w:t xml:space="preserve">. </w:t>
      </w:r>
      <w:hyperlink r:id="rId19" w:history="1">
        <w:r w:rsidRPr="00DB28BD">
          <w:rPr>
            <w:rStyle w:val="Hypertextovodkaz"/>
            <w:sz w:val="18"/>
            <w:szCs w:val="18"/>
          </w:rPr>
          <w:t>http://sbi.sydney.edu.au/megatrends/our-megatrends/</w:t>
        </w:r>
      </w:hyperlink>
    </w:p>
  </w:footnote>
  <w:footnote w:id="22">
    <w:p w14:paraId="33630952" w14:textId="77777777" w:rsidR="00B93C84" w:rsidRPr="002C7747" w:rsidRDefault="00B93C84" w:rsidP="002C7747">
      <w:pPr>
        <w:spacing w:after="0" w:line="240" w:lineRule="auto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bookmarkStart w:id="18" w:name="_Ref69388585"/>
      <w:r w:rsidRPr="002C7747">
        <w:rPr>
          <w:sz w:val="18"/>
          <w:szCs w:val="18"/>
        </w:rPr>
        <w:t xml:space="preserve">EU </w:t>
      </w:r>
      <w:proofErr w:type="spellStart"/>
      <w:r w:rsidRPr="002C7747">
        <w:rPr>
          <w:sz w:val="18"/>
          <w:szCs w:val="18"/>
        </w:rPr>
        <w:t>Commission</w:t>
      </w:r>
      <w:proofErr w:type="spellEnd"/>
      <w:r w:rsidRPr="002C7747">
        <w:rPr>
          <w:sz w:val="18"/>
          <w:szCs w:val="18"/>
        </w:rPr>
        <w:t xml:space="preserve"> (</w:t>
      </w:r>
      <w:proofErr w:type="spellStart"/>
      <w:r w:rsidRPr="002C7747">
        <w:rPr>
          <w:sz w:val="18"/>
          <w:szCs w:val="18"/>
        </w:rPr>
        <w:t>European</w:t>
      </w:r>
      <w:proofErr w:type="spellEnd"/>
      <w:r w:rsidRPr="002C7747">
        <w:rPr>
          <w:sz w:val="18"/>
          <w:szCs w:val="18"/>
        </w:rPr>
        <w:t xml:space="preserve"> Union </w:t>
      </w:r>
      <w:proofErr w:type="spellStart"/>
      <w:r w:rsidRPr="002C7747">
        <w:rPr>
          <w:sz w:val="18"/>
          <w:szCs w:val="18"/>
        </w:rPr>
        <w:t>Commission</w:t>
      </w:r>
      <w:proofErr w:type="spellEnd"/>
      <w:r w:rsidRPr="002C7747">
        <w:rPr>
          <w:sz w:val="18"/>
          <w:szCs w:val="18"/>
        </w:rPr>
        <w:t xml:space="preserve">). (2018). </w:t>
      </w:r>
      <w:proofErr w:type="spellStart"/>
      <w:r w:rsidRPr="002C7747">
        <w:rPr>
          <w:iCs/>
          <w:sz w:val="18"/>
          <w:szCs w:val="18"/>
        </w:rPr>
        <w:t>Competence</w:t>
      </w:r>
      <w:proofErr w:type="spellEnd"/>
      <w:r w:rsidRPr="002C7747">
        <w:rPr>
          <w:iCs/>
          <w:sz w:val="18"/>
          <w:szCs w:val="18"/>
        </w:rPr>
        <w:t xml:space="preserve"> Centre on </w:t>
      </w:r>
      <w:proofErr w:type="spellStart"/>
      <w:r w:rsidRPr="002C7747">
        <w:rPr>
          <w:iCs/>
          <w:sz w:val="18"/>
          <w:szCs w:val="18"/>
        </w:rPr>
        <w:t>Foresight</w:t>
      </w:r>
      <w:proofErr w:type="spellEnd"/>
      <w:r w:rsidRPr="002C7747">
        <w:rPr>
          <w:iCs/>
          <w:sz w:val="18"/>
          <w:szCs w:val="18"/>
        </w:rPr>
        <w:t xml:space="preserve"> - </w:t>
      </w:r>
      <w:proofErr w:type="spellStart"/>
      <w:r w:rsidRPr="002C7747">
        <w:rPr>
          <w:iCs/>
          <w:sz w:val="18"/>
          <w:szCs w:val="18"/>
        </w:rPr>
        <w:t>Megatrends</w:t>
      </w:r>
      <w:proofErr w:type="spellEnd"/>
      <w:r w:rsidRPr="002C7747">
        <w:rPr>
          <w:iCs/>
          <w:sz w:val="18"/>
          <w:szCs w:val="18"/>
        </w:rPr>
        <w:t xml:space="preserve"> Hub</w:t>
      </w:r>
      <w:bookmarkEnd w:id="18"/>
    </w:p>
    <w:p w14:paraId="79695717" w14:textId="77777777" w:rsidR="00B93C84" w:rsidRDefault="00D8062A" w:rsidP="002C7747">
      <w:pPr>
        <w:pStyle w:val="Textpoznpodarou"/>
      </w:pPr>
      <w:hyperlink r:id="rId20" w:history="1">
        <w:r w:rsidR="00B93C84" w:rsidRPr="00DB28BD">
          <w:rPr>
            <w:rStyle w:val="Hypertextovodkaz"/>
            <w:sz w:val="18"/>
            <w:szCs w:val="18"/>
          </w:rPr>
          <w:t>https://ec.europa.eu/knowledge4policy/foresight_en</w:t>
        </w:r>
      </w:hyperlink>
    </w:p>
  </w:footnote>
  <w:footnote w:id="23">
    <w:p w14:paraId="593F186C" w14:textId="77777777" w:rsidR="00B93C84" w:rsidRDefault="00B93C84" w:rsidP="002C7747">
      <w:pPr>
        <w:spacing w:after="0" w:line="240" w:lineRule="auto"/>
        <w:jc w:val="both"/>
      </w:pPr>
      <w:r>
        <w:rPr>
          <w:rStyle w:val="Znakapoznpodarou"/>
        </w:rPr>
        <w:footnoteRef/>
      </w:r>
      <w:r>
        <w:t xml:space="preserve"> </w:t>
      </w:r>
      <w:r w:rsidRPr="002C7747">
        <w:rPr>
          <w:sz w:val="18"/>
          <w:szCs w:val="18"/>
        </w:rPr>
        <w:t>PWC (</w:t>
      </w:r>
      <w:proofErr w:type="spellStart"/>
      <w:r w:rsidRPr="002C7747">
        <w:rPr>
          <w:sz w:val="18"/>
          <w:szCs w:val="18"/>
        </w:rPr>
        <w:t>PricewaterhouseCoopers</w:t>
      </w:r>
      <w:proofErr w:type="spellEnd"/>
      <w:r w:rsidRPr="002C7747">
        <w:rPr>
          <w:sz w:val="18"/>
          <w:szCs w:val="18"/>
        </w:rPr>
        <w:t xml:space="preserve">). (2019). </w:t>
      </w:r>
      <w:proofErr w:type="spellStart"/>
      <w:r w:rsidRPr="002C7747">
        <w:rPr>
          <w:iCs/>
          <w:sz w:val="18"/>
          <w:szCs w:val="18"/>
        </w:rPr>
        <w:t>Megatrends</w:t>
      </w:r>
      <w:proofErr w:type="spellEnd"/>
      <w:r w:rsidRPr="002C7747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hyperlink r:id="rId21" w:history="1">
        <w:r w:rsidRPr="00DB28BD">
          <w:rPr>
            <w:rStyle w:val="Hypertextovodkaz"/>
            <w:sz w:val="18"/>
            <w:szCs w:val="18"/>
          </w:rPr>
          <w:t>https://www.pwc.co.uk/issues/megatrends.html</w:t>
        </w:r>
      </w:hyperlink>
    </w:p>
  </w:footnote>
  <w:footnote w:id="24">
    <w:p w14:paraId="6498C5DE" w14:textId="77777777" w:rsidR="00B93C84" w:rsidRPr="002C7747" w:rsidRDefault="00B93C84" w:rsidP="002C7747">
      <w:pPr>
        <w:spacing w:after="0" w:line="240" w:lineRule="auto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2C7747">
        <w:rPr>
          <w:sz w:val="18"/>
          <w:szCs w:val="18"/>
        </w:rPr>
        <w:t xml:space="preserve">EU </w:t>
      </w:r>
      <w:proofErr w:type="spellStart"/>
      <w:r w:rsidRPr="002C7747">
        <w:rPr>
          <w:sz w:val="18"/>
          <w:szCs w:val="18"/>
        </w:rPr>
        <w:t>Commission</w:t>
      </w:r>
      <w:proofErr w:type="spellEnd"/>
      <w:r w:rsidRPr="002C7747">
        <w:rPr>
          <w:sz w:val="18"/>
          <w:szCs w:val="18"/>
        </w:rPr>
        <w:t xml:space="preserve"> (</w:t>
      </w:r>
      <w:proofErr w:type="spellStart"/>
      <w:r w:rsidRPr="002C7747">
        <w:rPr>
          <w:sz w:val="18"/>
          <w:szCs w:val="18"/>
        </w:rPr>
        <w:t>European</w:t>
      </w:r>
      <w:proofErr w:type="spellEnd"/>
      <w:r w:rsidRPr="002C7747">
        <w:rPr>
          <w:sz w:val="18"/>
          <w:szCs w:val="18"/>
        </w:rPr>
        <w:t xml:space="preserve"> Union </w:t>
      </w:r>
      <w:proofErr w:type="spellStart"/>
      <w:r w:rsidRPr="002C7747">
        <w:rPr>
          <w:sz w:val="18"/>
          <w:szCs w:val="18"/>
        </w:rPr>
        <w:t>Commission</w:t>
      </w:r>
      <w:proofErr w:type="spellEnd"/>
      <w:r w:rsidRPr="002C7747">
        <w:rPr>
          <w:sz w:val="18"/>
          <w:szCs w:val="18"/>
        </w:rPr>
        <w:t xml:space="preserve">). (2018). </w:t>
      </w:r>
      <w:proofErr w:type="spellStart"/>
      <w:r w:rsidRPr="002C7747">
        <w:rPr>
          <w:iCs/>
          <w:sz w:val="18"/>
          <w:szCs w:val="18"/>
        </w:rPr>
        <w:t>Competence</w:t>
      </w:r>
      <w:proofErr w:type="spellEnd"/>
      <w:r w:rsidRPr="002C7747">
        <w:rPr>
          <w:iCs/>
          <w:sz w:val="18"/>
          <w:szCs w:val="18"/>
        </w:rPr>
        <w:t xml:space="preserve"> Centre on </w:t>
      </w:r>
      <w:proofErr w:type="spellStart"/>
      <w:r w:rsidRPr="002C7747">
        <w:rPr>
          <w:iCs/>
          <w:sz w:val="18"/>
          <w:szCs w:val="18"/>
        </w:rPr>
        <w:t>Foresight</w:t>
      </w:r>
      <w:proofErr w:type="spellEnd"/>
      <w:r w:rsidRPr="002C7747">
        <w:rPr>
          <w:iCs/>
          <w:sz w:val="18"/>
          <w:szCs w:val="18"/>
        </w:rPr>
        <w:t xml:space="preserve"> - </w:t>
      </w:r>
      <w:proofErr w:type="spellStart"/>
      <w:r w:rsidRPr="002C7747">
        <w:rPr>
          <w:iCs/>
          <w:sz w:val="18"/>
          <w:szCs w:val="18"/>
        </w:rPr>
        <w:t>Megatrends</w:t>
      </w:r>
      <w:proofErr w:type="spellEnd"/>
      <w:r w:rsidRPr="002C7747">
        <w:rPr>
          <w:iCs/>
          <w:sz w:val="18"/>
          <w:szCs w:val="18"/>
        </w:rPr>
        <w:t xml:space="preserve"> Hub</w:t>
      </w:r>
    </w:p>
    <w:p w14:paraId="53EBBF4C" w14:textId="77777777" w:rsidR="00B93C84" w:rsidRPr="002C7747" w:rsidRDefault="00D8062A" w:rsidP="002C7747">
      <w:pPr>
        <w:spacing w:after="0" w:line="240" w:lineRule="auto"/>
        <w:ind w:firstLine="426"/>
        <w:jc w:val="both"/>
        <w:rPr>
          <w:sz w:val="18"/>
          <w:szCs w:val="18"/>
        </w:rPr>
      </w:pPr>
      <w:hyperlink r:id="rId22" w:history="1">
        <w:r w:rsidR="00B93C84" w:rsidRPr="00DB28BD">
          <w:rPr>
            <w:rStyle w:val="Hypertextovodkaz"/>
            <w:sz w:val="18"/>
            <w:szCs w:val="18"/>
          </w:rPr>
          <w:t>https://ec.europa.eu/knowledge4policy/foresight_en</w:t>
        </w:r>
      </w:hyperlink>
    </w:p>
  </w:footnote>
  <w:footnote w:id="25">
    <w:p w14:paraId="1616A4CC" w14:textId="77777777" w:rsidR="00B93C84" w:rsidRPr="002C7747" w:rsidRDefault="00B93C84" w:rsidP="002C7747">
      <w:pPr>
        <w:spacing w:after="0" w:line="240" w:lineRule="auto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bookmarkStart w:id="19" w:name="_Ref69828607"/>
      <w:proofErr w:type="spellStart"/>
      <w:r w:rsidRPr="002C7747">
        <w:rPr>
          <w:sz w:val="18"/>
          <w:szCs w:val="18"/>
        </w:rPr>
        <w:t>Laudicina</w:t>
      </w:r>
      <w:proofErr w:type="spellEnd"/>
      <w:r w:rsidRPr="002C7747">
        <w:rPr>
          <w:sz w:val="18"/>
          <w:szCs w:val="18"/>
        </w:rPr>
        <w:t xml:space="preserve">, P., </w:t>
      </w:r>
      <w:proofErr w:type="spellStart"/>
      <w:r w:rsidRPr="002C7747">
        <w:rPr>
          <w:sz w:val="18"/>
          <w:szCs w:val="18"/>
        </w:rPr>
        <w:t>Peterson</w:t>
      </w:r>
      <w:proofErr w:type="spellEnd"/>
      <w:r w:rsidRPr="002C7747">
        <w:rPr>
          <w:sz w:val="18"/>
          <w:szCs w:val="18"/>
        </w:rPr>
        <w:t xml:space="preserve">, E., and </w:t>
      </w:r>
      <w:proofErr w:type="spellStart"/>
      <w:r w:rsidRPr="002C7747">
        <w:rPr>
          <w:sz w:val="18"/>
          <w:szCs w:val="18"/>
        </w:rPr>
        <w:t>Rickert</w:t>
      </w:r>
      <w:proofErr w:type="spellEnd"/>
      <w:r w:rsidRPr="002C7747">
        <w:rPr>
          <w:sz w:val="18"/>
          <w:szCs w:val="18"/>
        </w:rPr>
        <w:t xml:space="preserve"> </w:t>
      </w:r>
      <w:proofErr w:type="spellStart"/>
      <w:r w:rsidRPr="002C7747">
        <w:rPr>
          <w:sz w:val="18"/>
          <w:szCs w:val="18"/>
        </w:rPr>
        <w:t>McCaffrey</w:t>
      </w:r>
      <w:proofErr w:type="spellEnd"/>
      <w:r w:rsidRPr="002C7747">
        <w:rPr>
          <w:sz w:val="18"/>
          <w:szCs w:val="18"/>
        </w:rPr>
        <w:t xml:space="preserve">, C. (2018). </w:t>
      </w:r>
      <w:proofErr w:type="spellStart"/>
      <w:r w:rsidRPr="002C7747">
        <w:rPr>
          <w:iCs/>
          <w:sz w:val="18"/>
          <w:szCs w:val="18"/>
        </w:rPr>
        <w:t>Competition</w:t>
      </w:r>
      <w:proofErr w:type="spellEnd"/>
      <w:r w:rsidRPr="002C7747">
        <w:rPr>
          <w:iCs/>
          <w:sz w:val="18"/>
          <w:szCs w:val="18"/>
        </w:rPr>
        <w:t xml:space="preserve">, </w:t>
      </w:r>
      <w:proofErr w:type="spellStart"/>
      <w:r w:rsidRPr="002C7747">
        <w:rPr>
          <w:iCs/>
          <w:sz w:val="18"/>
          <w:szCs w:val="18"/>
        </w:rPr>
        <w:t>Disruption</w:t>
      </w:r>
      <w:proofErr w:type="spellEnd"/>
      <w:r w:rsidRPr="002C7747">
        <w:rPr>
          <w:iCs/>
          <w:sz w:val="18"/>
          <w:szCs w:val="18"/>
        </w:rPr>
        <w:t xml:space="preserve">, and </w:t>
      </w:r>
      <w:proofErr w:type="spellStart"/>
      <w:r w:rsidRPr="002C7747">
        <w:rPr>
          <w:iCs/>
          <w:sz w:val="18"/>
          <w:szCs w:val="18"/>
        </w:rPr>
        <w:t>Deception</w:t>
      </w:r>
      <w:proofErr w:type="spellEnd"/>
      <w:r w:rsidRPr="002C7747">
        <w:rPr>
          <w:iCs/>
          <w:sz w:val="18"/>
          <w:szCs w:val="18"/>
        </w:rPr>
        <w:t xml:space="preserve">: </w:t>
      </w:r>
      <w:proofErr w:type="spellStart"/>
      <w:r w:rsidRPr="002C7747">
        <w:rPr>
          <w:iCs/>
          <w:sz w:val="18"/>
          <w:szCs w:val="18"/>
        </w:rPr>
        <w:t>Global</w:t>
      </w:r>
      <w:proofErr w:type="spellEnd"/>
      <w:r w:rsidRPr="002C7747">
        <w:rPr>
          <w:iCs/>
          <w:sz w:val="18"/>
          <w:szCs w:val="18"/>
        </w:rPr>
        <w:t xml:space="preserve"> </w:t>
      </w:r>
      <w:proofErr w:type="spellStart"/>
      <w:r w:rsidRPr="002C7747">
        <w:rPr>
          <w:iCs/>
          <w:sz w:val="18"/>
          <w:szCs w:val="18"/>
        </w:rPr>
        <w:t>Trends</w:t>
      </w:r>
      <w:proofErr w:type="spellEnd"/>
      <w:r w:rsidRPr="002C7747">
        <w:rPr>
          <w:iCs/>
          <w:sz w:val="18"/>
          <w:szCs w:val="18"/>
        </w:rPr>
        <w:t xml:space="preserve"> 2018 – 2023</w:t>
      </w:r>
      <w:r w:rsidRPr="002C7747">
        <w:rPr>
          <w:sz w:val="18"/>
          <w:szCs w:val="18"/>
        </w:rPr>
        <w:t xml:space="preserve">. A.T. </w:t>
      </w:r>
      <w:proofErr w:type="spellStart"/>
      <w:r w:rsidRPr="002C7747">
        <w:rPr>
          <w:sz w:val="18"/>
          <w:szCs w:val="18"/>
        </w:rPr>
        <w:t>Kearney</w:t>
      </w:r>
      <w:proofErr w:type="spellEnd"/>
      <w:r w:rsidRPr="002C7747">
        <w:rPr>
          <w:sz w:val="18"/>
          <w:szCs w:val="18"/>
        </w:rPr>
        <w:t xml:space="preserve"> </w:t>
      </w:r>
      <w:proofErr w:type="spellStart"/>
      <w:r w:rsidRPr="002C7747">
        <w:rPr>
          <w:sz w:val="18"/>
          <w:szCs w:val="18"/>
        </w:rPr>
        <w:t>Global</w:t>
      </w:r>
      <w:proofErr w:type="spellEnd"/>
      <w:r w:rsidRPr="002C7747">
        <w:rPr>
          <w:sz w:val="18"/>
          <w:szCs w:val="18"/>
        </w:rPr>
        <w:t xml:space="preserve"> Business </w:t>
      </w:r>
      <w:proofErr w:type="spellStart"/>
      <w:r w:rsidRPr="002C7747">
        <w:rPr>
          <w:sz w:val="18"/>
          <w:szCs w:val="18"/>
        </w:rPr>
        <w:t>Policy</w:t>
      </w:r>
      <w:proofErr w:type="spellEnd"/>
      <w:r w:rsidRPr="002C7747">
        <w:rPr>
          <w:sz w:val="18"/>
          <w:szCs w:val="18"/>
        </w:rPr>
        <w:t xml:space="preserve"> </w:t>
      </w:r>
      <w:proofErr w:type="spellStart"/>
      <w:r w:rsidRPr="002C7747">
        <w:rPr>
          <w:sz w:val="18"/>
          <w:szCs w:val="18"/>
        </w:rPr>
        <w:t>Council</w:t>
      </w:r>
      <w:proofErr w:type="spellEnd"/>
      <w:r w:rsidRPr="002C7747">
        <w:rPr>
          <w:sz w:val="18"/>
          <w:szCs w:val="18"/>
        </w:rPr>
        <w:t>.</w:t>
      </w:r>
      <w:bookmarkEnd w:id="19"/>
    </w:p>
    <w:p w14:paraId="7DBCE5F2" w14:textId="77777777" w:rsidR="00B93C84" w:rsidRPr="002C7747" w:rsidRDefault="00D8062A" w:rsidP="002C7747">
      <w:pPr>
        <w:pStyle w:val="Odstavecseseznamem"/>
        <w:spacing w:after="0" w:line="240" w:lineRule="auto"/>
        <w:ind w:left="426"/>
        <w:contextualSpacing w:val="0"/>
        <w:jc w:val="both"/>
        <w:rPr>
          <w:sz w:val="18"/>
          <w:szCs w:val="18"/>
        </w:rPr>
      </w:pPr>
      <w:hyperlink r:id="rId23" w:history="1">
        <w:r w:rsidR="00B93C84" w:rsidRPr="004A3830">
          <w:rPr>
            <w:rStyle w:val="Hypertextovodkaz"/>
            <w:sz w:val="18"/>
            <w:szCs w:val="18"/>
          </w:rPr>
          <w:t>https://www.atkearney.com/web/global-business-policy-council/global-trends/2018-2023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4C5A7" w14:textId="77777777" w:rsidR="00B93C84" w:rsidRDefault="00B93C84" w:rsidP="00655103">
    <w:pPr>
      <w:pStyle w:val="heading"/>
    </w:pPr>
  </w:p>
  <w:p w14:paraId="73EF8822" w14:textId="77777777" w:rsidR="00B93C84" w:rsidRPr="00E02B5C" w:rsidRDefault="00B93C84" w:rsidP="00655103">
    <w:pPr>
      <w:pStyle w:val="heading"/>
    </w:pPr>
    <w:r w:rsidRPr="00E02B5C">
      <w:fldChar w:fldCharType="begin"/>
    </w:r>
    <w:r w:rsidRPr="00C66E80">
      <w:instrText xml:space="preserve"> STYLEREF  "Nadpis 1"  \* MERGEFORMAT </w:instrText>
    </w:r>
    <w:r w:rsidRPr="00E02B5C">
      <w:fldChar w:fldCharType="separate"/>
    </w:r>
    <w:r>
      <w:rPr>
        <w:b/>
        <w:bCs/>
      </w:rPr>
      <w:t>Chyba! Pomocí karty Domů použijte u textu, který se má zde zobrazit, styl Nadpis 1.</w:t>
    </w:r>
    <w:r w:rsidRPr="00E02B5C">
      <w:fldChar w:fldCharType="end"/>
    </w:r>
    <w:r w:rsidRPr="00E02B5C">
      <w:fldChar w:fldCharType="begin"/>
    </w:r>
    <w:r w:rsidRPr="00E02B5C">
      <w:instrText xml:space="preserve"> </w:instrText>
    </w:r>
    <w:r w:rsidRPr="00E02B5C">
      <w:fldChar w:fldCharType="begin"/>
    </w:r>
    <w:r w:rsidRPr="00E02B5C">
      <w:instrText xml:space="preserve"> REF _Ref66436222 \h </w:instrText>
    </w:r>
    <w:r w:rsidRPr="00E02B5C">
      <w:fldChar w:fldCharType="separate"/>
    </w:r>
    <w:r>
      <w:rPr>
        <w:b/>
        <w:bCs/>
      </w:rPr>
      <w:instrText>Chyba! Nenalezen zdroj odkazů.</w:instrText>
    </w:r>
    <w:r w:rsidRPr="00E02B5C">
      <w:fldChar w:fldCharType="end"/>
    </w:r>
    <w:r w:rsidRPr="00E02B5C">
      <w:instrText xml:space="preserve">REF  _Ref425413798 </w:instrText>
    </w:r>
    <w:r w:rsidRPr="00E02B5C">
      <w:fldChar w:fldCharType="separate"/>
    </w:r>
    <w:r w:rsidRPr="00E02B5C">
      <w:rPr>
        <w:b/>
        <w:bCs/>
      </w:rPr>
      <w:t>Chyba! Nenalezen zdroj odkazů.</w:t>
    </w:r>
    <w:r w:rsidRPr="00E02B5C">
      <w:fldChar w:fldCharType="end"/>
    </w:r>
    <w:r w:rsidRPr="00E02B5C">
      <w:ptab w:relativeTo="margin" w:alignment="right" w:leader="none"/>
    </w:r>
    <w:r w:rsidRPr="00E02B5C">
      <w:rPr>
        <w:noProof w:val="0"/>
      </w:rPr>
      <w:fldChar w:fldCharType="begin"/>
    </w:r>
    <w:r w:rsidRPr="00E02B5C">
      <w:instrText xml:space="preserve"> PAGE   \* MERGEFORMAT </w:instrText>
    </w:r>
    <w:r w:rsidRPr="00E02B5C">
      <w:rPr>
        <w:noProof w:val="0"/>
      </w:rPr>
      <w:fldChar w:fldCharType="separate"/>
    </w:r>
    <w:r>
      <w:t>1</w:t>
    </w:r>
    <w:r w:rsidRPr="00E02B5C">
      <w:fldChar w:fldCharType="end"/>
    </w:r>
  </w:p>
  <w:p w14:paraId="474672EB" w14:textId="77777777" w:rsidR="00B93C84" w:rsidRPr="003D5CAB" w:rsidRDefault="00B93C84" w:rsidP="006551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5E11"/>
    <w:multiLevelType w:val="multilevel"/>
    <w:tmpl w:val="1EB8D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B450C4"/>
    <w:multiLevelType w:val="hybridMultilevel"/>
    <w:tmpl w:val="F1E0C1FC"/>
    <w:lvl w:ilvl="0" w:tplc="63C88990">
      <w:start w:val="1"/>
      <w:numFmt w:val="decimal"/>
      <w:lvlText w:val="[%1]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268E9"/>
    <w:multiLevelType w:val="hybridMultilevel"/>
    <w:tmpl w:val="FB12A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36A9F"/>
    <w:multiLevelType w:val="multilevel"/>
    <w:tmpl w:val="630C2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840DE5"/>
    <w:multiLevelType w:val="hybridMultilevel"/>
    <w:tmpl w:val="9EFA4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6126D"/>
    <w:multiLevelType w:val="multilevel"/>
    <w:tmpl w:val="317C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1"/>
    <w:lvlOverride w:ilvl="0">
      <w:lvl w:ilvl="0" w:tplc="63C88990">
        <w:start w:val="1"/>
        <w:numFmt w:val="decimal"/>
        <w:lvlText w:val="[%1]"/>
        <w:lvlJc w:val="left"/>
        <w:pPr>
          <w:ind w:left="397" w:hanging="397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2D"/>
    <w:rsid w:val="00001B91"/>
    <w:rsid w:val="000C5977"/>
    <w:rsid w:val="000E57FF"/>
    <w:rsid w:val="000F5825"/>
    <w:rsid w:val="00116601"/>
    <w:rsid w:val="0014411D"/>
    <w:rsid w:val="001D09D7"/>
    <w:rsid w:val="002C7747"/>
    <w:rsid w:val="0039240C"/>
    <w:rsid w:val="00457F5C"/>
    <w:rsid w:val="00465FB2"/>
    <w:rsid w:val="0048336B"/>
    <w:rsid w:val="004B19BF"/>
    <w:rsid w:val="00521E8F"/>
    <w:rsid w:val="005F4C2D"/>
    <w:rsid w:val="0064079C"/>
    <w:rsid w:val="00655103"/>
    <w:rsid w:val="0066646E"/>
    <w:rsid w:val="00677442"/>
    <w:rsid w:val="0068151B"/>
    <w:rsid w:val="00800C32"/>
    <w:rsid w:val="0080430D"/>
    <w:rsid w:val="00921865"/>
    <w:rsid w:val="00970506"/>
    <w:rsid w:val="00A04B71"/>
    <w:rsid w:val="00B052AF"/>
    <w:rsid w:val="00B93C84"/>
    <w:rsid w:val="00C22E2E"/>
    <w:rsid w:val="00C35287"/>
    <w:rsid w:val="00CB695D"/>
    <w:rsid w:val="00D8062A"/>
    <w:rsid w:val="00D94E67"/>
    <w:rsid w:val="00DC447F"/>
    <w:rsid w:val="00E412F2"/>
    <w:rsid w:val="00E553F1"/>
    <w:rsid w:val="00EF68A9"/>
    <w:rsid w:val="00F345B0"/>
    <w:rsid w:val="00F37581"/>
    <w:rsid w:val="00F665E5"/>
    <w:rsid w:val="00F720A7"/>
    <w:rsid w:val="00FB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AF3CDB"/>
  <w15:docId w15:val="{D2DC9BB0-0444-4C60-9D14-2FDFECE4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77442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5F4C2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F4C2D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665E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665E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665E5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F665E5"/>
  </w:style>
  <w:style w:type="paragraph" w:styleId="Zhlav">
    <w:name w:val="header"/>
    <w:basedOn w:val="Normln"/>
    <w:link w:val="ZhlavChar"/>
    <w:uiPriority w:val="99"/>
    <w:unhideWhenUsed/>
    <w:rsid w:val="004B1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19BF"/>
  </w:style>
  <w:style w:type="paragraph" w:customStyle="1" w:styleId="heading">
    <w:name w:val="heading"/>
    <w:basedOn w:val="Normln"/>
    <w:autoRedefine/>
    <w:qFormat/>
    <w:rsid w:val="004B19BF"/>
    <w:pPr>
      <w:pBdr>
        <w:bottom w:val="single" w:sz="2" w:space="1" w:color="A6A6A6" w:themeColor="background1" w:themeShade="A6"/>
      </w:pBdr>
      <w:spacing w:after="0" w:line="240" w:lineRule="auto"/>
      <w:jc w:val="both"/>
    </w:pPr>
    <w:rPr>
      <w:rFonts w:eastAsiaTheme="minorEastAsia" w:cs="Tahoma"/>
      <w:i/>
      <w:noProof/>
      <w:color w:val="808080" w:themeColor="background1" w:themeShade="80"/>
      <w:sz w:val="18"/>
      <w:szCs w:val="16"/>
      <w:lang w:bidi="en-US"/>
    </w:rPr>
  </w:style>
  <w:style w:type="paragraph" w:styleId="Zpat">
    <w:name w:val="footer"/>
    <w:basedOn w:val="Normln"/>
    <w:link w:val="ZpatChar"/>
    <w:uiPriority w:val="99"/>
    <w:unhideWhenUsed/>
    <w:rsid w:val="00A04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4B71"/>
  </w:style>
  <w:style w:type="paragraph" w:styleId="Textbubliny">
    <w:name w:val="Balloon Text"/>
    <w:basedOn w:val="Normln"/>
    <w:link w:val="TextbublinyChar"/>
    <w:uiPriority w:val="99"/>
    <w:semiHidden/>
    <w:unhideWhenUsed/>
    <w:rsid w:val="00677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442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77442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677442"/>
    <w:pPr>
      <w:tabs>
        <w:tab w:val="right" w:pos="9062"/>
      </w:tabs>
      <w:spacing w:after="100"/>
    </w:pPr>
    <w:rPr>
      <w:rFonts w:asciiTheme="majorHAnsi" w:hAnsiTheme="majorHAnsi"/>
      <w:b/>
      <w:noProof/>
      <w:color w:val="0070C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deloitte.com/content/dam/Deloitte/nl/Documents/public-sector/deloitte-nl-ps-megatrends-2ndedition.pdf" TargetMode="External"/><Relationship Id="rId13" Type="http://schemas.openxmlformats.org/officeDocument/2006/relationships/hyperlink" Target="https://www.europarl.europa.eu/RegData/etudes/STUD/2017/603263/EPRS_STU(2017)603263_EN.pdf" TargetMode="External"/><Relationship Id="rId18" Type="http://schemas.openxmlformats.org/officeDocument/2006/relationships/hyperlink" Target="https://sloanreview.mit.edu/article/the-world-in-2030-nine-megatrends-to-watch/" TargetMode="External"/><Relationship Id="rId3" Type="http://schemas.openxmlformats.org/officeDocument/2006/relationships/hyperlink" Target="https://www.eea.europa.eu/publications/drivers-of-change" TargetMode="External"/><Relationship Id="rId21" Type="http://schemas.openxmlformats.org/officeDocument/2006/relationships/hyperlink" Target="https://www.pwc.co.uk/issues/megatrends.html" TargetMode="External"/><Relationship Id="rId7" Type="http://schemas.openxmlformats.org/officeDocument/2006/relationships/hyperlink" Target="https://www.europarl.europa.eu/RegData/etudes/STUD/2017/603263/EPRS_STU(2017)603263_EN.pdf" TargetMode="External"/><Relationship Id="rId12" Type="http://schemas.openxmlformats.org/officeDocument/2006/relationships/hyperlink" Target="https://www.oecd.org/els/family/HM1-4-Living-arrangements-age-groups.pdf" TargetMode="External"/><Relationship Id="rId17" Type="http://schemas.openxmlformats.org/officeDocument/2006/relationships/hyperlink" Target="https://read.oecd-ilibrary.org/urban-rural-and-regional-development/oecd-regional-outlook-2019/summary/english_964b90d8-en" TargetMode="External"/><Relationship Id="rId2" Type="http://schemas.openxmlformats.org/officeDocument/2006/relationships/hyperlink" Target="https://www.zsl.org/sites/default/files/LPR%202020%20Full%20report.pdf" TargetMode="External"/><Relationship Id="rId16" Type="http://schemas.openxmlformats.org/officeDocument/2006/relationships/hyperlink" Target="https://www2.deloitte.com/content/dam/Deloitte/nl/Documents/public-sector/deloitte-nl-ps-megatrends-2ndedition.pdf" TargetMode="External"/><Relationship Id="rId20" Type="http://schemas.openxmlformats.org/officeDocument/2006/relationships/hyperlink" Target="https://ec.europa.eu/knowledge4policy/foresight_en" TargetMode="External"/><Relationship Id="rId1" Type="http://schemas.openxmlformats.org/officeDocument/2006/relationships/hyperlink" Target="https://www.consilium.europa.eu/en/policies/green-deal/" TargetMode="External"/><Relationship Id="rId6" Type="http://schemas.openxmlformats.org/officeDocument/2006/relationships/hyperlink" Target="https://knowledge4policy.ec.europa.eu/foresight/topic/aggravating-resource-scarcity/global-demand-resources-materials_en" TargetMode="External"/><Relationship Id="rId11" Type="http://schemas.openxmlformats.org/officeDocument/2006/relationships/hyperlink" Target="https://read.oecd-ilibrary.org/urban-rural-and-regional-development/oecd-regional-outlook-2019/summary/english_964b90d8-en" TargetMode="External"/><Relationship Id="rId5" Type="http://schemas.openxmlformats.org/officeDocument/2006/relationships/hyperlink" Target="https://www.eea.europa.eu/publications/drivers-of-change" TargetMode="External"/><Relationship Id="rId15" Type="http://schemas.openxmlformats.org/officeDocument/2006/relationships/hyperlink" Target="https://www.who.int/health-topics/infodemic" TargetMode="External"/><Relationship Id="rId23" Type="http://schemas.openxmlformats.org/officeDocument/2006/relationships/hyperlink" Target="https://www.atkearney.com/web/global-business-policy-council/global-trends/2018-2023" TargetMode="External"/><Relationship Id="rId10" Type="http://schemas.openxmlformats.org/officeDocument/2006/relationships/hyperlink" Target="http://sbi.sydney.edu.au/megatrends/our-megatrends/" TargetMode="External"/><Relationship Id="rId19" Type="http://schemas.openxmlformats.org/officeDocument/2006/relationships/hyperlink" Target="http://sbi.sydney.edu.au/megatrends/our-megatrends/" TargetMode="External"/><Relationship Id="rId4" Type="http://schemas.openxmlformats.org/officeDocument/2006/relationships/hyperlink" Target="https://ec.europa.eu/info/research-and-innovation/funding/funding-opportunities/funding-programmes-and-open-calls/horizon-europe/eu-missions-horizon-europe/adaptation-climate-change-including-societal-transformation_en" TargetMode="External"/><Relationship Id="rId9" Type="http://schemas.openxmlformats.org/officeDocument/2006/relationships/hyperlink" Target="https://www.megatrends2018.com/" TargetMode="External"/><Relationship Id="rId14" Type="http://schemas.openxmlformats.org/officeDocument/2006/relationships/hyperlink" Target="https://www.pwc.co.uk/issues/megatrends.html" TargetMode="External"/><Relationship Id="rId22" Type="http://schemas.openxmlformats.org/officeDocument/2006/relationships/hyperlink" Target="https://ec.europa.eu/knowledge4policy/foresight_e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2E907-6537-4408-A5DF-EF5ADFA27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2564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Pazour Michal TC</dc:creator>
  <cp:keywords/>
  <dc:description/>
  <cp:lastModifiedBy>Marek Jan</cp:lastModifiedBy>
  <cp:revision>2</cp:revision>
  <cp:lastPrinted>2022-02-16T14:51:00Z</cp:lastPrinted>
  <dcterms:created xsi:type="dcterms:W3CDTF">2022-03-18T11:03:00Z</dcterms:created>
  <dcterms:modified xsi:type="dcterms:W3CDTF">2022-03-18T11:03:00Z</dcterms:modified>
</cp:coreProperties>
</file>